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AF6EAD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AF6EAD">
        <w:rPr>
          <w:noProof/>
          <w:sz w:val="18"/>
          <w:szCs w:val="18"/>
        </w:rPr>
        <w:drawing>
          <wp:inline distT="0" distB="0" distL="0" distR="0" wp14:anchorId="12E4A592" wp14:editId="68B09180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</w:rPr>
      </w:pPr>
      <w:r w:rsidRPr="00AF6EAD">
        <w:rPr>
          <w:rFonts w:ascii="Cambria" w:hAnsi="Cambria"/>
          <w:sz w:val="32"/>
          <w:szCs w:val="32"/>
        </w:rPr>
        <w:t xml:space="preserve">News Service week </w:t>
      </w:r>
      <w:r>
        <w:rPr>
          <w:rFonts w:ascii="Cambria" w:hAnsi="Cambria"/>
          <w:sz w:val="32"/>
          <w:szCs w:val="32"/>
          <w:lang w:val="hu-HU"/>
        </w:rPr>
        <w:t>1</w:t>
      </w:r>
      <w:r w:rsidR="009629B5">
        <w:rPr>
          <w:rFonts w:ascii="Cambria" w:hAnsi="Cambria"/>
          <w:sz w:val="32"/>
          <w:szCs w:val="32"/>
          <w:lang w:val="hu-HU"/>
        </w:rPr>
        <w:t>5</w:t>
      </w:r>
      <w:r w:rsidR="000310B4">
        <w:rPr>
          <w:rFonts w:ascii="Cambria" w:hAnsi="Cambria"/>
          <w:sz w:val="32"/>
          <w:szCs w:val="32"/>
        </w:rPr>
        <w:t>/</w:t>
      </w:r>
      <w:r w:rsidRPr="00AF6EAD">
        <w:rPr>
          <w:rFonts w:ascii="Cambria" w:hAnsi="Cambria"/>
          <w:sz w:val="32"/>
          <w:szCs w:val="32"/>
        </w:rPr>
        <w:t>2012</w:t>
      </w:r>
    </w:p>
    <w:p w:rsidR="0076799E" w:rsidRDefault="0076799E" w:rsidP="0076799E">
      <w:pPr>
        <w:pStyle w:val="Heading1"/>
        <w:spacing w:line="276" w:lineRule="auto"/>
        <w:jc w:val="center"/>
        <w:rPr>
          <w:rFonts w:ascii="Cambria" w:hAnsi="Cambria"/>
          <w:sz w:val="26"/>
          <w:szCs w:val="26"/>
        </w:rPr>
      </w:pPr>
      <w:r w:rsidRPr="00AF6EAD">
        <w:rPr>
          <w:rFonts w:ascii="Cambria" w:hAnsi="Cambria"/>
          <w:sz w:val="26"/>
          <w:szCs w:val="26"/>
        </w:rPr>
        <w:t>(</w:t>
      </w:r>
      <w:r w:rsidR="009629B5">
        <w:rPr>
          <w:rFonts w:ascii="Cambria" w:hAnsi="Cambria"/>
          <w:sz w:val="26"/>
          <w:szCs w:val="26"/>
        </w:rPr>
        <w:t>9</w:t>
      </w:r>
      <w:r w:rsidR="002A3910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–</w:t>
      </w:r>
      <w:r w:rsidR="002A3910">
        <w:rPr>
          <w:rFonts w:ascii="Cambria" w:hAnsi="Cambria"/>
          <w:sz w:val="26"/>
          <w:szCs w:val="26"/>
        </w:rPr>
        <w:t xml:space="preserve"> </w:t>
      </w:r>
      <w:r w:rsidR="009629B5">
        <w:rPr>
          <w:rFonts w:ascii="Cambria" w:hAnsi="Cambria"/>
          <w:sz w:val="26"/>
          <w:szCs w:val="26"/>
        </w:rPr>
        <w:t>15</w:t>
      </w:r>
      <w:r w:rsidR="002A3910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April </w:t>
      </w:r>
      <w:r w:rsidRPr="00AF6EAD">
        <w:rPr>
          <w:rFonts w:ascii="Cambria" w:hAnsi="Cambria"/>
          <w:sz w:val="26"/>
          <w:szCs w:val="26"/>
        </w:rPr>
        <w:t>2012)</w:t>
      </w:r>
    </w:p>
    <w:p w:rsidR="00003AB3" w:rsidRPr="00AF6EAD" w:rsidRDefault="00003AB3" w:rsidP="00003AB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WIDER EUROPE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50263C" w:rsidRPr="0091300C" w:rsidTr="00816AEC">
        <w:trPr>
          <w:trHeight w:val="129"/>
        </w:trPr>
        <w:tc>
          <w:tcPr>
            <w:tcW w:w="1530" w:type="dxa"/>
          </w:tcPr>
          <w:p w:rsidR="0050263C" w:rsidRPr="00C27BF0" w:rsidRDefault="004B54D8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C27BF0">
              <w:rPr>
                <w:rFonts w:asciiTheme="majorHAnsi" w:hAnsiTheme="majorHAnsi" w:cs="Arial"/>
                <w:b/>
                <w:lang w:val="en-GB"/>
              </w:rPr>
              <w:t>11 April</w:t>
            </w:r>
          </w:p>
        </w:tc>
        <w:tc>
          <w:tcPr>
            <w:tcW w:w="7848" w:type="dxa"/>
          </w:tcPr>
          <w:p w:rsidR="0050263C" w:rsidRPr="00C27BF0" w:rsidRDefault="004B54D8" w:rsidP="004B54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 w:rsidRPr="00C27BF0">
              <w:rPr>
                <w:rFonts w:asciiTheme="majorHAnsi" w:hAnsiTheme="majorHAnsi" w:cstheme="minorHAnsi"/>
              </w:rPr>
              <w:t xml:space="preserve">MEPs achieve progress on energy security, trade and human rights in meeting with EU’s Eastern Partners </w:t>
            </w:r>
            <w:r w:rsidRPr="00C27BF0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24577941" wp14:editId="4AD386E8">
                  <wp:extent cx="159385" cy="148590"/>
                  <wp:effectExtent l="0" t="0" r="0" b="3810"/>
                  <wp:docPr id="13" name="Picture 13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AB3" w:rsidRDefault="00003AB3" w:rsidP="00003AB3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AF6EAD" w:rsidRDefault="007738EE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7738EE" w:rsidRPr="00AF6EAD" w:rsidTr="00DF0053">
        <w:trPr>
          <w:trHeight w:val="129"/>
        </w:trPr>
        <w:tc>
          <w:tcPr>
            <w:tcW w:w="1530" w:type="dxa"/>
          </w:tcPr>
          <w:p w:rsidR="007738EE" w:rsidRDefault="00FF0626" w:rsidP="00EA3B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10 April</w:t>
            </w:r>
          </w:p>
        </w:tc>
        <w:tc>
          <w:tcPr>
            <w:tcW w:w="7848" w:type="dxa"/>
          </w:tcPr>
          <w:p w:rsidR="007738EE" w:rsidRDefault="00FF0626" w:rsidP="00EA3BB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EU and US adopt blueprint for open and stable investment climates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8546CAE" wp14:editId="49DA05AF">
                  <wp:extent cx="159385" cy="148590"/>
                  <wp:effectExtent l="0" t="0" r="0" b="3810"/>
                  <wp:docPr id="22" name="Picture 22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8EE" w:rsidRDefault="007738EE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AF6EAD" w:rsidRDefault="00FF5611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G</w:t>
      </w:r>
      <w:r w:rsidR="00AC41B7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-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8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C97769" w:rsidRPr="00AF6EAD" w:rsidTr="005A3EB9">
        <w:trPr>
          <w:trHeight w:val="129"/>
        </w:trPr>
        <w:tc>
          <w:tcPr>
            <w:tcW w:w="1530" w:type="dxa"/>
          </w:tcPr>
          <w:p w:rsidR="00C97769" w:rsidRPr="00C4666E" w:rsidRDefault="008C2E27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12 April</w:t>
            </w:r>
          </w:p>
        </w:tc>
        <w:tc>
          <w:tcPr>
            <w:tcW w:w="7848" w:type="dxa"/>
          </w:tcPr>
          <w:p w:rsidR="00C97769" w:rsidRPr="00C4666E" w:rsidRDefault="008C2E27" w:rsidP="005A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  <w:t xml:space="preserve">G8 Foreign Ministers meeting chair’s statement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0243D25" wp14:editId="294A655F">
                  <wp:extent cx="159385" cy="148590"/>
                  <wp:effectExtent l="0" t="0" r="0" b="3810"/>
                  <wp:docPr id="11" name="Picture 11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Default="0076799E" w:rsidP="0076799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F5611" w:rsidRPr="00AF6EAD" w:rsidRDefault="00FF5611" w:rsidP="00FF5611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EXTERNAL DIMENSION OF AFSJ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F5611" w:rsidRPr="00AF6EAD" w:rsidTr="00A01139">
        <w:trPr>
          <w:trHeight w:val="129"/>
        </w:trPr>
        <w:tc>
          <w:tcPr>
            <w:tcW w:w="1530" w:type="dxa"/>
          </w:tcPr>
          <w:p w:rsidR="00FF5611" w:rsidRDefault="00FF5611" w:rsidP="00A0113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12 April</w:t>
            </w:r>
          </w:p>
        </w:tc>
        <w:tc>
          <w:tcPr>
            <w:tcW w:w="7848" w:type="dxa"/>
          </w:tcPr>
          <w:p w:rsidR="00FF5611" w:rsidRDefault="00FF5611" w:rsidP="00E407E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Council 2011 </w:t>
            </w:r>
            <w:r w:rsidR="00E407E4">
              <w:rPr>
                <w:rFonts w:asciiTheme="majorHAnsi" w:hAnsiTheme="majorHAnsi"/>
                <w:bCs/>
              </w:rPr>
              <w:t xml:space="preserve">annual Report </w:t>
            </w:r>
            <w:r>
              <w:rPr>
                <w:rFonts w:asciiTheme="majorHAnsi" w:hAnsiTheme="majorHAnsi"/>
                <w:bCs/>
              </w:rPr>
              <w:t xml:space="preserve">on coordination of cooperation in combating </w:t>
            </w:r>
            <w:proofErr w:type="spellStart"/>
            <w:r>
              <w:rPr>
                <w:rFonts w:asciiTheme="majorHAnsi" w:hAnsiTheme="majorHAnsi"/>
                <w:bCs/>
              </w:rPr>
              <w:t>organised</w:t>
            </w:r>
            <w:proofErr w:type="spellEnd"/>
            <w:r>
              <w:rPr>
                <w:rFonts w:asciiTheme="majorHAnsi" w:hAnsiTheme="majorHAnsi"/>
                <w:bCs/>
              </w:rPr>
              <w:t xml:space="preserve"> crime, especially drug trafficking, originating in West Africa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206002F" wp14:editId="0B41CE5D">
                  <wp:extent cx="159385" cy="148590"/>
                  <wp:effectExtent l="0" t="0" r="0" b="3810"/>
                  <wp:docPr id="25" name="Picture 25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611" w:rsidRDefault="00FF5611" w:rsidP="0076799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AF6EAD" w:rsidRDefault="0076799E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333AA8" w:rsidRPr="00AF6EAD" w:rsidTr="005A3EB9">
        <w:trPr>
          <w:trHeight w:val="129"/>
        </w:trPr>
        <w:tc>
          <w:tcPr>
            <w:tcW w:w="1530" w:type="dxa"/>
          </w:tcPr>
          <w:p w:rsidR="00333AA8" w:rsidRDefault="00333AA8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11 April</w:t>
            </w:r>
          </w:p>
        </w:tc>
        <w:tc>
          <w:tcPr>
            <w:tcW w:w="7848" w:type="dxa"/>
          </w:tcPr>
          <w:p w:rsidR="00333AA8" w:rsidRDefault="00333AA8" w:rsidP="005A3EB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Commission’s response to the Sahel food crisis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E7FDA97" wp14:editId="29F1A5F4">
                  <wp:extent cx="159385" cy="148590"/>
                  <wp:effectExtent l="0" t="0" r="0" b="3810"/>
                  <wp:docPr id="19" name="Picture 19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C77" w:rsidRPr="00AF6EAD" w:rsidTr="005A3EB9">
        <w:trPr>
          <w:trHeight w:val="129"/>
        </w:trPr>
        <w:tc>
          <w:tcPr>
            <w:tcW w:w="1530" w:type="dxa"/>
          </w:tcPr>
          <w:p w:rsidR="008B0C77" w:rsidRDefault="008B0C77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11 April</w:t>
            </w:r>
          </w:p>
        </w:tc>
        <w:tc>
          <w:tcPr>
            <w:tcW w:w="7848" w:type="dxa"/>
          </w:tcPr>
          <w:p w:rsidR="008B0C77" w:rsidRDefault="008B0C77" w:rsidP="005A3EB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Commissioner </w:t>
            </w:r>
            <w:proofErr w:type="spellStart"/>
            <w:r>
              <w:rPr>
                <w:rFonts w:asciiTheme="majorHAnsi" w:hAnsiTheme="majorHAnsi"/>
                <w:bCs/>
              </w:rPr>
              <w:t>Georgieva</w:t>
            </w:r>
            <w:proofErr w:type="spellEnd"/>
            <w:r>
              <w:rPr>
                <w:rFonts w:asciiTheme="majorHAnsi" w:hAnsiTheme="majorHAnsi"/>
                <w:bCs/>
              </w:rPr>
              <w:t xml:space="preserve"> warns of possible humanitarian disaster in northern Mali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67845FA" wp14:editId="3F215479">
                  <wp:extent cx="159385" cy="148590"/>
                  <wp:effectExtent l="0" t="0" r="0" b="3810"/>
                  <wp:docPr id="14" name="Picture 14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EA0" w:rsidRPr="00AF6EAD" w:rsidTr="005A3EB9">
        <w:trPr>
          <w:trHeight w:val="129"/>
        </w:trPr>
        <w:tc>
          <w:tcPr>
            <w:tcW w:w="1530" w:type="dxa"/>
          </w:tcPr>
          <w:p w:rsidR="007A4EA0" w:rsidRDefault="007A4EA0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12 April</w:t>
            </w:r>
          </w:p>
        </w:tc>
        <w:tc>
          <w:tcPr>
            <w:tcW w:w="7848" w:type="dxa"/>
          </w:tcPr>
          <w:p w:rsidR="007A4EA0" w:rsidRDefault="007A4EA0" w:rsidP="005A3EB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New EU-Pacific development partnership to tackle climate change and fight poverty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BEED798" wp14:editId="44D1E4D2">
                  <wp:extent cx="159385" cy="148590"/>
                  <wp:effectExtent l="0" t="0" r="0" b="3810"/>
                  <wp:docPr id="12" name="Picture 12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A39" w:rsidRPr="00AF6EAD" w:rsidTr="005A3EB9">
        <w:trPr>
          <w:trHeight w:val="129"/>
        </w:trPr>
        <w:tc>
          <w:tcPr>
            <w:tcW w:w="1530" w:type="dxa"/>
          </w:tcPr>
          <w:p w:rsidR="00115A39" w:rsidRDefault="00115A39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12 April</w:t>
            </w:r>
          </w:p>
        </w:tc>
        <w:tc>
          <w:tcPr>
            <w:tcW w:w="7848" w:type="dxa"/>
          </w:tcPr>
          <w:p w:rsidR="00115A39" w:rsidRDefault="007379E6" w:rsidP="005A3EB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Barroso</w:t>
            </w:r>
            <w:proofErr w:type="spellEnd"/>
            <w:r>
              <w:rPr>
                <w:rFonts w:asciiTheme="majorHAnsi" w:hAnsiTheme="majorHAnsi"/>
                <w:bCs/>
              </w:rPr>
              <w:t xml:space="preserve"> on access to sustainable energy in developing countries as one of the top priorities of the EU development policy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CAED8E1" wp14:editId="1AC3175E">
                  <wp:extent cx="159385" cy="148590"/>
                  <wp:effectExtent l="0" t="0" r="0" b="3810"/>
                  <wp:docPr id="10" name="Picture 10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EB9" w:rsidRPr="00AF6EAD" w:rsidTr="005A3EB9">
        <w:trPr>
          <w:trHeight w:val="129"/>
        </w:trPr>
        <w:tc>
          <w:tcPr>
            <w:tcW w:w="1530" w:type="dxa"/>
          </w:tcPr>
          <w:p w:rsidR="005A3EB9" w:rsidRPr="00F73448" w:rsidRDefault="005A3EB9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13 April</w:t>
            </w:r>
          </w:p>
        </w:tc>
        <w:tc>
          <w:tcPr>
            <w:tcW w:w="7848" w:type="dxa"/>
          </w:tcPr>
          <w:p w:rsidR="005A3EB9" w:rsidRPr="00F73448" w:rsidRDefault="005A3EB9" w:rsidP="009277C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Survey reveals that the EU should support developing countries in energy access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284786D" wp14:editId="7F0C99E0">
                  <wp:extent cx="159385" cy="148590"/>
                  <wp:effectExtent l="0" t="0" r="0" b="3810"/>
                  <wp:docPr id="9" name="Picture 9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77CF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9277CF">
              <w:rPr>
                <w:rFonts w:asciiTheme="majorHAnsi" w:hAnsiTheme="majorHAnsi"/>
                <w:bCs/>
              </w:rPr>
              <w:t>Eurobarometer</w:t>
            </w:r>
            <w:proofErr w:type="spellEnd"/>
            <w:r w:rsidR="009277CF">
              <w:rPr>
                <w:rFonts w:asciiTheme="majorHAnsi" w:hAnsiTheme="majorHAnsi"/>
                <w:bCs/>
              </w:rPr>
              <w:t xml:space="preserve"> survey details </w:t>
            </w:r>
            <w:r w:rsidR="009277CF">
              <w:rPr>
                <w:rFonts w:ascii="Cambria" w:hAnsi="Cambria"/>
                <w:bCs/>
                <w:noProof/>
              </w:rPr>
              <w:drawing>
                <wp:inline distT="0" distB="0" distL="0" distR="0" wp14:anchorId="217833FE" wp14:editId="1B6F5671">
                  <wp:extent cx="161925" cy="152400"/>
                  <wp:effectExtent l="0" t="0" r="9525" b="0"/>
                  <wp:docPr id="34" name="Picture 34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28F" w:rsidRDefault="0051728F" w:rsidP="0051728F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AF6EAD" w:rsidRDefault="007738EE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M</w:t>
      </w:r>
      <w:r w:rsidR="00B0418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ID</w:t>
      </w:r>
      <w:r w:rsidR="002641E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</w:t>
      </w:r>
      <w:r w:rsidR="00B0418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LE EAST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7738EE" w:rsidRPr="00AF6EAD" w:rsidTr="00EA3BB9">
        <w:trPr>
          <w:trHeight w:val="129"/>
        </w:trPr>
        <w:tc>
          <w:tcPr>
            <w:tcW w:w="1530" w:type="dxa"/>
          </w:tcPr>
          <w:p w:rsidR="007738EE" w:rsidRPr="00AF6EAD" w:rsidRDefault="00B0418C" w:rsidP="00EA3BB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11 April</w:t>
            </w:r>
          </w:p>
        </w:tc>
        <w:tc>
          <w:tcPr>
            <w:tcW w:w="7848" w:type="dxa"/>
          </w:tcPr>
          <w:p w:rsidR="007738EE" w:rsidRPr="009E003E" w:rsidRDefault="00B0418C" w:rsidP="00EA3BB9">
            <w:pPr>
              <w:shd w:val="clear" w:color="auto" w:fill="FFFFFF"/>
              <w:spacing w:after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Middle East Quartet Statement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3274B89" wp14:editId="15896C03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8EE" w:rsidRDefault="007738EE" w:rsidP="007738E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AF6EAD" w:rsidRDefault="007738EE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 w:rsidR="00614BD1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MONGOLIA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7738EE" w:rsidRPr="00AF6EAD" w:rsidTr="00EA3BB9">
        <w:trPr>
          <w:trHeight w:val="129"/>
        </w:trPr>
        <w:tc>
          <w:tcPr>
            <w:tcW w:w="1530" w:type="dxa"/>
          </w:tcPr>
          <w:p w:rsidR="007738EE" w:rsidRDefault="00614BD1" w:rsidP="00EA3B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12 April</w:t>
            </w:r>
          </w:p>
        </w:tc>
        <w:tc>
          <w:tcPr>
            <w:tcW w:w="7848" w:type="dxa"/>
          </w:tcPr>
          <w:p w:rsidR="007738EE" w:rsidRDefault="00614BD1" w:rsidP="00EA3B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Framework Agreement on Partnership and Cooperation between the EU and its Member States, of the one part, and Mongolia, of the other part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BFD23BD" wp14:editId="4950E140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8EE" w:rsidRDefault="007738EE" w:rsidP="007738E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5468F0" w:rsidRDefault="0051728F" w:rsidP="0051728F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32AD6" w:rsidRPr="005468F0" w:rsidTr="00985C9A">
        <w:trPr>
          <w:trHeight w:val="129"/>
        </w:trPr>
        <w:tc>
          <w:tcPr>
            <w:tcW w:w="1530" w:type="dxa"/>
          </w:tcPr>
          <w:p w:rsidR="00F32AD6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19 April </w:t>
            </w:r>
          </w:p>
        </w:tc>
        <w:tc>
          <w:tcPr>
            <w:tcW w:w="7848" w:type="dxa"/>
          </w:tcPr>
          <w:p w:rsidR="00F32AD6" w:rsidRDefault="00FD76F5" w:rsidP="00FD76F5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‘The experiences of the Polish P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residency of the Council of the EU</w:t>
            </w:r>
            <w:r w:rsidR="002540C0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in the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f</w:t>
            </w:r>
            <w:r w:rsidR="002540C0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ield of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</w:t>
            </w:r>
            <w:r w:rsidR="002540C0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xternal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r</w:t>
            </w:r>
            <w:r w:rsidR="002540C0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elations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’, Presentation organised by T.M.C. Asser </w:t>
            </w:r>
            <w:proofErr w:type="spellStart"/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CLEER, and the Embassy of the Republic of Poland in The Hague, NL </w:t>
            </w:r>
            <w:r w:rsidR="00F32AD6">
              <w:rPr>
                <w:rFonts w:ascii="Cambria" w:hAnsi="Cambria"/>
                <w:bCs/>
                <w:noProof/>
              </w:rPr>
              <w:drawing>
                <wp:inline distT="0" distB="0" distL="0" distR="0" wp14:anchorId="332D931F" wp14:editId="7671CF52">
                  <wp:extent cx="161925" cy="152400"/>
                  <wp:effectExtent l="0" t="0" r="9525" b="0"/>
                  <wp:docPr id="73" name="Picture 73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E4E" w:rsidRPr="005468F0" w:rsidTr="005A3EB9">
        <w:trPr>
          <w:trHeight w:val="129"/>
        </w:trPr>
        <w:tc>
          <w:tcPr>
            <w:tcW w:w="1530" w:type="dxa"/>
          </w:tcPr>
          <w:p w:rsidR="00FE2E4E" w:rsidRDefault="00FE2E4E" w:rsidP="005A3EB9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3-5 May</w:t>
            </w:r>
          </w:p>
        </w:tc>
        <w:tc>
          <w:tcPr>
            <w:tcW w:w="7848" w:type="dxa"/>
          </w:tcPr>
          <w:p w:rsidR="00FE2E4E" w:rsidRDefault="00FE2E4E" w:rsidP="005A3EB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‘The European Union in International Affairs III’, Conference organised by IES-VUB, IEE-ULB, UNU-CRIS and EUIA, Brussels, BE</w:t>
            </w:r>
            <w:r w:rsidR="00450BF9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450BF9">
              <w:rPr>
                <w:rFonts w:ascii="Cambria" w:hAnsi="Cambria"/>
                <w:bCs/>
                <w:noProof/>
              </w:rPr>
              <w:drawing>
                <wp:inline distT="0" distB="0" distL="0" distR="0" wp14:anchorId="4504BEED" wp14:editId="621D5E2A">
                  <wp:extent cx="161925" cy="152400"/>
                  <wp:effectExtent l="0" t="0" r="9525" b="0"/>
                  <wp:docPr id="35" name="Picture 35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5C6" w:rsidRPr="005468F0" w:rsidTr="005A3EB9">
        <w:trPr>
          <w:trHeight w:val="129"/>
        </w:trPr>
        <w:tc>
          <w:tcPr>
            <w:tcW w:w="1530" w:type="dxa"/>
          </w:tcPr>
          <w:p w:rsidR="00E345C6" w:rsidRDefault="00E345C6" w:rsidP="005A3EB9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4-5 May</w:t>
            </w:r>
          </w:p>
        </w:tc>
        <w:tc>
          <w:tcPr>
            <w:tcW w:w="7848" w:type="dxa"/>
          </w:tcPr>
          <w:p w:rsidR="00E345C6" w:rsidRDefault="00E345C6" w:rsidP="005A3EB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‘Enlargement and Integration in the European Union: Wider and Deeper?’, Workshop organised by Rutgers University, New Brunswick, US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527AE3A" wp14:editId="5E539A65">
                  <wp:extent cx="161925" cy="152400"/>
                  <wp:effectExtent l="0" t="0" r="9525" b="0"/>
                  <wp:docPr id="36" name="Picture 36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5A3" w:rsidRPr="005468F0" w:rsidTr="005A3EB9">
        <w:trPr>
          <w:trHeight w:val="129"/>
        </w:trPr>
        <w:tc>
          <w:tcPr>
            <w:tcW w:w="1530" w:type="dxa"/>
          </w:tcPr>
          <w:p w:rsidR="003F05A3" w:rsidRDefault="003F05A3" w:rsidP="005A3EB9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10-11 May</w:t>
            </w:r>
          </w:p>
        </w:tc>
        <w:tc>
          <w:tcPr>
            <w:tcW w:w="7848" w:type="dxa"/>
          </w:tcPr>
          <w:p w:rsidR="003F05A3" w:rsidRDefault="003F05A3" w:rsidP="005A3EB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‘One year after the Arab Spring: </w:t>
            </w:r>
            <w:r w:rsidRPr="00D95A48">
              <w:rPr>
                <w:rFonts w:asciiTheme="majorHAnsi" w:hAnsiTheme="majorHAnsi"/>
                <w:bCs/>
                <w:iCs/>
              </w:rPr>
              <w:t>The European Union’s relations with the Southern-Mediterranean region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’, Conference organised by CLEER, Universidad Pablo de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Olavide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and the T.M.C. Asser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Seville, Spain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0022041" wp14:editId="1C9C52CE">
                  <wp:extent cx="161925" cy="152400"/>
                  <wp:effectExtent l="0" t="0" r="9525" b="0"/>
                  <wp:docPr id="74" name="Picture 74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5468F0" w:rsidTr="00985C9A">
        <w:trPr>
          <w:trHeight w:val="129"/>
        </w:trPr>
        <w:tc>
          <w:tcPr>
            <w:tcW w:w="1530" w:type="dxa"/>
          </w:tcPr>
          <w:p w:rsidR="00F32AD6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25 May</w:t>
            </w:r>
          </w:p>
        </w:tc>
        <w:tc>
          <w:tcPr>
            <w:tcW w:w="7848" w:type="dxa"/>
          </w:tcPr>
          <w:p w:rsidR="00F32AD6" w:rsidRDefault="00F32AD6" w:rsidP="00FD76F5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‘Human rights and the EU crisis management operations: a duty to respect and to protect?’ </w:t>
            </w:r>
            <w:r w:rsidR="00FD76F5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W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orkshop organised by T.M.C. Asser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EF205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CLEER and </w:t>
            </w:r>
            <w:r w:rsidR="00472C41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NLDA</w:t>
            </w:r>
            <w:r w:rsidR="00EF205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8E759E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The Hague,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NL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2005229" wp14:editId="715CC01D">
                  <wp:extent cx="161925" cy="152400"/>
                  <wp:effectExtent l="0" t="0" r="9525" b="0"/>
                  <wp:docPr id="75" name="Picture 75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5468F0" w:rsidTr="00985C9A">
        <w:trPr>
          <w:trHeight w:val="129"/>
        </w:trPr>
        <w:tc>
          <w:tcPr>
            <w:tcW w:w="1530" w:type="dxa"/>
          </w:tcPr>
          <w:p w:rsidR="00F32AD6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19 June</w:t>
            </w:r>
          </w:p>
        </w:tc>
        <w:tc>
          <w:tcPr>
            <w:tcW w:w="7848" w:type="dxa"/>
          </w:tcPr>
          <w:p w:rsidR="00F32AD6" w:rsidRDefault="002641E5" w:rsidP="00FD76F5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‘Legal A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pproximation and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pplication of EU law in the Eastern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eighbourhood of the Europe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an Union: Towards a Common Regulatory Space?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’, Conference organised by Gent </w:t>
            </w:r>
            <w:r w:rsidR="00AC41B7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University</w:t>
            </w:r>
            <w:bookmarkStart w:id="0" w:name="_GoBack"/>
            <w:bookmarkEnd w:id="0"/>
            <w:r w:rsidR="00FD76F5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,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EF205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Ghent, 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BE </w:t>
            </w:r>
            <w:r w:rsidR="00F32AD6">
              <w:rPr>
                <w:rFonts w:ascii="Cambria" w:hAnsi="Cambria"/>
                <w:bCs/>
                <w:noProof/>
              </w:rPr>
              <w:drawing>
                <wp:inline distT="0" distB="0" distL="0" distR="0" wp14:anchorId="0B5D7EA4" wp14:editId="1CD01D04">
                  <wp:extent cx="161925" cy="152400"/>
                  <wp:effectExtent l="0" t="0" r="9525" b="0"/>
                  <wp:docPr id="76" name="Picture 76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76799E" w:rsidRPr="005468F0" w:rsidRDefault="0076799E" w:rsidP="0076799E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5468F0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Pr="0076799E">
        <w:rPr>
          <w:rFonts w:ascii="Cambria" w:hAnsi="Cambria" w:cs="Arial"/>
          <w:sz w:val="16"/>
          <w:szCs w:val="16"/>
          <w:lang w:val="en-GB"/>
        </w:rPr>
        <w:t>Linda Kr</w:t>
      </w:r>
      <w:r w:rsidRPr="0076799E">
        <w:rPr>
          <w:snapToGrid w:val="0"/>
          <w:spacing w:val="-2"/>
          <w:sz w:val="16"/>
          <w:szCs w:val="16"/>
          <w:lang w:val="nl-NL"/>
        </w:rPr>
        <w:t>ӕ</w:t>
      </w:r>
      <w:proofErr w:type="spellStart"/>
      <w:r w:rsidRPr="0076799E">
        <w:rPr>
          <w:rFonts w:ascii="Cambria" w:hAnsi="Cambria" w:cs="Arial"/>
          <w:sz w:val="16"/>
          <w:szCs w:val="16"/>
          <w:lang w:val="en-GB"/>
        </w:rPr>
        <w:t>mer</w:t>
      </w:r>
      <w:proofErr w:type="spellEnd"/>
      <w:r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p w:rsidR="006F363E" w:rsidRDefault="006F363E"/>
    <w:sectPr w:rsidR="006F363E" w:rsidSect="00827079">
      <w:footerReference w:type="default" r:id="rId28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39" w:rsidRDefault="00115A39">
      <w:pPr>
        <w:spacing w:after="0" w:line="240" w:lineRule="auto"/>
      </w:pPr>
      <w:r>
        <w:separator/>
      </w:r>
    </w:p>
  </w:endnote>
  <w:endnote w:type="continuationSeparator" w:id="0">
    <w:p w:rsidR="00115A39" w:rsidRDefault="0011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39" w:rsidRDefault="00115A3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41B7">
      <w:rPr>
        <w:noProof/>
      </w:rPr>
      <w:t>1</w:t>
    </w:r>
    <w:r>
      <w:rPr>
        <w:noProof/>
      </w:rPr>
      <w:fldChar w:fldCharType="end"/>
    </w:r>
  </w:p>
  <w:p w:rsidR="00115A39" w:rsidRDefault="00115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39" w:rsidRDefault="00115A39">
      <w:pPr>
        <w:spacing w:after="0" w:line="240" w:lineRule="auto"/>
      </w:pPr>
      <w:r>
        <w:separator/>
      </w:r>
    </w:p>
  </w:footnote>
  <w:footnote w:type="continuationSeparator" w:id="0">
    <w:p w:rsidR="00115A39" w:rsidRDefault="00115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30F26"/>
    <w:rsid w:val="000310B4"/>
    <w:rsid w:val="00086F3C"/>
    <w:rsid w:val="000C6BD3"/>
    <w:rsid w:val="000C700C"/>
    <w:rsid w:val="000D4E84"/>
    <w:rsid w:val="000E6D49"/>
    <w:rsid w:val="00115A39"/>
    <w:rsid w:val="00162FBD"/>
    <w:rsid w:val="00172804"/>
    <w:rsid w:val="00202BD2"/>
    <w:rsid w:val="00205AAF"/>
    <w:rsid w:val="0022173B"/>
    <w:rsid w:val="00232E1D"/>
    <w:rsid w:val="002540C0"/>
    <w:rsid w:val="002641E5"/>
    <w:rsid w:val="0026520D"/>
    <w:rsid w:val="002749A7"/>
    <w:rsid w:val="00287596"/>
    <w:rsid w:val="00297390"/>
    <w:rsid w:val="00297A55"/>
    <w:rsid w:val="002A3910"/>
    <w:rsid w:val="002C7596"/>
    <w:rsid w:val="002D1824"/>
    <w:rsid w:val="002F09BC"/>
    <w:rsid w:val="003028EE"/>
    <w:rsid w:val="003100E9"/>
    <w:rsid w:val="0031064A"/>
    <w:rsid w:val="00333AA8"/>
    <w:rsid w:val="00340AA0"/>
    <w:rsid w:val="003530EC"/>
    <w:rsid w:val="00381A3F"/>
    <w:rsid w:val="00395592"/>
    <w:rsid w:val="003E4701"/>
    <w:rsid w:val="003E6D22"/>
    <w:rsid w:val="003F05A3"/>
    <w:rsid w:val="004140AF"/>
    <w:rsid w:val="00423286"/>
    <w:rsid w:val="004317D9"/>
    <w:rsid w:val="00450BF9"/>
    <w:rsid w:val="00451358"/>
    <w:rsid w:val="00462EDB"/>
    <w:rsid w:val="00471DBE"/>
    <w:rsid w:val="00472C41"/>
    <w:rsid w:val="00497D8E"/>
    <w:rsid w:val="004B54D8"/>
    <w:rsid w:val="004C6265"/>
    <w:rsid w:val="004E202E"/>
    <w:rsid w:val="004E7861"/>
    <w:rsid w:val="004F6017"/>
    <w:rsid w:val="0050263C"/>
    <w:rsid w:val="00502D50"/>
    <w:rsid w:val="0051728F"/>
    <w:rsid w:val="00533FE4"/>
    <w:rsid w:val="005A1BCF"/>
    <w:rsid w:val="005A3EB9"/>
    <w:rsid w:val="005C5BAC"/>
    <w:rsid w:val="005C6AB7"/>
    <w:rsid w:val="005D1418"/>
    <w:rsid w:val="005D7783"/>
    <w:rsid w:val="00610B38"/>
    <w:rsid w:val="00614BD1"/>
    <w:rsid w:val="006251C1"/>
    <w:rsid w:val="006359F8"/>
    <w:rsid w:val="00670D4A"/>
    <w:rsid w:val="00676501"/>
    <w:rsid w:val="006A2C9D"/>
    <w:rsid w:val="006B6CBA"/>
    <w:rsid w:val="006D2E0C"/>
    <w:rsid w:val="006E3D36"/>
    <w:rsid w:val="006F363E"/>
    <w:rsid w:val="006F499F"/>
    <w:rsid w:val="007379E6"/>
    <w:rsid w:val="007414BD"/>
    <w:rsid w:val="00742453"/>
    <w:rsid w:val="00743E22"/>
    <w:rsid w:val="0075023A"/>
    <w:rsid w:val="007649AC"/>
    <w:rsid w:val="0076799E"/>
    <w:rsid w:val="007738EE"/>
    <w:rsid w:val="0077604A"/>
    <w:rsid w:val="007826CC"/>
    <w:rsid w:val="007A4EA0"/>
    <w:rsid w:val="007D2010"/>
    <w:rsid w:val="007E6EF2"/>
    <w:rsid w:val="007F5138"/>
    <w:rsid w:val="00806FA7"/>
    <w:rsid w:val="00816AEC"/>
    <w:rsid w:val="00827079"/>
    <w:rsid w:val="008421D8"/>
    <w:rsid w:val="00865D76"/>
    <w:rsid w:val="0086661B"/>
    <w:rsid w:val="0087594B"/>
    <w:rsid w:val="00876719"/>
    <w:rsid w:val="008B0C77"/>
    <w:rsid w:val="008C2E27"/>
    <w:rsid w:val="008E32C5"/>
    <w:rsid w:val="008E759E"/>
    <w:rsid w:val="008F1675"/>
    <w:rsid w:val="0090442F"/>
    <w:rsid w:val="00911A29"/>
    <w:rsid w:val="0091300C"/>
    <w:rsid w:val="009277CF"/>
    <w:rsid w:val="009443D9"/>
    <w:rsid w:val="00951C9A"/>
    <w:rsid w:val="009629B5"/>
    <w:rsid w:val="00965127"/>
    <w:rsid w:val="00977C2D"/>
    <w:rsid w:val="00984848"/>
    <w:rsid w:val="00985C9A"/>
    <w:rsid w:val="009947EB"/>
    <w:rsid w:val="009C2CC8"/>
    <w:rsid w:val="009E003E"/>
    <w:rsid w:val="00A2494D"/>
    <w:rsid w:val="00A334A0"/>
    <w:rsid w:val="00A40252"/>
    <w:rsid w:val="00A44CDF"/>
    <w:rsid w:val="00A45F74"/>
    <w:rsid w:val="00A531C6"/>
    <w:rsid w:val="00A56BEE"/>
    <w:rsid w:val="00A62CE2"/>
    <w:rsid w:val="00A74AD1"/>
    <w:rsid w:val="00A853F6"/>
    <w:rsid w:val="00A95FF3"/>
    <w:rsid w:val="00AC41B7"/>
    <w:rsid w:val="00AF5357"/>
    <w:rsid w:val="00B0418C"/>
    <w:rsid w:val="00B11DF6"/>
    <w:rsid w:val="00B34AF1"/>
    <w:rsid w:val="00B40043"/>
    <w:rsid w:val="00B45DDF"/>
    <w:rsid w:val="00B630DE"/>
    <w:rsid w:val="00B85145"/>
    <w:rsid w:val="00BD21F4"/>
    <w:rsid w:val="00C27BF0"/>
    <w:rsid w:val="00C4667F"/>
    <w:rsid w:val="00C5080B"/>
    <w:rsid w:val="00C83343"/>
    <w:rsid w:val="00C86359"/>
    <w:rsid w:val="00C97769"/>
    <w:rsid w:val="00CE60FD"/>
    <w:rsid w:val="00CE6238"/>
    <w:rsid w:val="00D11021"/>
    <w:rsid w:val="00D660F8"/>
    <w:rsid w:val="00D76849"/>
    <w:rsid w:val="00D83083"/>
    <w:rsid w:val="00DA50C0"/>
    <w:rsid w:val="00DE1170"/>
    <w:rsid w:val="00DF0053"/>
    <w:rsid w:val="00E00281"/>
    <w:rsid w:val="00E0069E"/>
    <w:rsid w:val="00E16472"/>
    <w:rsid w:val="00E24CF6"/>
    <w:rsid w:val="00E345C6"/>
    <w:rsid w:val="00E407E4"/>
    <w:rsid w:val="00E423D9"/>
    <w:rsid w:val="00E65220"/>
    <w:rsid w:val="00E73606"/>
    <w:rsid w:val="00E76E71"/>
    <w:rsid w:val="00EA3BB9"/>
    <w:rsid w:val="00EC3C28"/>
    <w:rsid w:val="00EC7101"/>
    <w:rsid w:val="00EF2054"/>
    <w:rsid w:val="00EF7470"/>
    <w:rsid w:val="00F042B7"/>
    <w:rsid w:val="00F25C99"/>
    <w:rsid w:val="00F32AD6"/>
    <w:rsid w:val="00F335A1"/>
    <w:rsid w:val="00F9512F"/>
    <w:rsid w:val="00FA735B"/>
    <w:rsid w:val="00FB5BAD"/>
    <w:rsid w:val="00FC0F46"/>
    <w:rsid w:val="00FD5AC0"/>
    <w:rsid w:val="00FD76F5"/>
    <w:rsid w:val="00FE2E4E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egister.consilium.europa.eu/pdf/en/12/st08/st08610.en12.pdf" TargetMode="External"/><Relationship Id="rId18" Type="http://schemas.openxmlformats.org/officeDocument/2006/relationships/hyperlink" Target="http://europa.eu/rapid/pressReleasesAction.do?reference=IP/12/363&amp;format=HTML&amp;aged=0&amp;language=EN&amp;guiLanguage=en" TargetMode="External"/><Relationship Id="rId26" Type="http://schemas.openxmlformats.org/officeDocument/2006/relationships/hyperlink" Target="http://www.asser.nl/events.aspx?id=29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egister.consilium.europa.eu/pdf/en/11/st07/st07902-re01.en1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ilium.europa.eu/uedocs/cms_data/docs/pressdata/EN/foraff/129518.pdf" TargetMode="External"/><Relationship Id="rId17" Type="http://schemas.openxmlformats.org/officeDocument/2006/relationships/hyperlink" Target="http://europa.eu/rapid/pressReleasesAction.do?reference=SPEECH/12/262&amp;format=HTML&amp;aged=0&amp;language=EN&amp;guiLanguage=en" TargetMode="External"/><Relationship Id="rId25" Type="http://schemas.openxmlformats.org/officeDocument/2006/relationships/hyperlink" Target="http://www.asser.nl/events.aspx?id=291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.eu/rapid/pressReleasesAction.do?reference=IP/12/364&amp;format=HTML&amp;aged=0&amp;language=EN&amp;guiLanguage=en" TargetMode="External"/><Relationship Id="rId20" Type="http://schemas.openxmlformats.org/officeDocument/2006/relationships/hyperlink" Target="http://www.consilium.europa.eu/uedocs/cms_data/docs/pressdata/EN/foraff/129513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uropa.eu/rapid/pressReleasesAction.do?reference=IP/12/356&amp;format=HTML&amp;aged=0&amp;language=EN&amp;guiLanguage=en" TargetMode="External"/><Relationship Id="rId24" Type="http://schemas.openxmlformats.org/officeDocument/2006/relationships/hyperlink" Target="http://www.uaces.org/events/calendar/event.php?recordID=5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opa.eu/rapid/pressReleasesAction.do?reference=IP/12/359&amp;format=HTML&amp;aged=0&amp;language=EN&amp;guiLanguage=en" TargetMode="External"/><Relationship Id="rId23" Type="http://schemas.openxmlformats.org/officeDocument/2006/relationships/hyperlink" Target="http://www.uaces.org/events/calendar/event.php?recordID=391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ec.europa.eu/public_opinion/flash/fl_348_pres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arl.europa.eu/news/en/headlines/content/20120410STO42632/html/Meeting-with-EU's-Eastern-Partners-sees-progress-on-energy-and-human-rights" TargetMode="External"/><Relationship Id="rId14" Type="http://schemas.openxmlformats.org/officeDocument/2006/relationships/hyperlink" Target="http://europa.eu/rapid/pressReleasesAction.do?reference=MEMO/12/247&amp;format=HTML&amp;aged=0&amp;language=EN&amp;guiLanguage=en" TargetMode="External"/><Relationship Id="rId22" Type="http://schemas.openxmlformats.org/officeDocument/2006/relationships/hyperlink" Target="http://www.asser.nl/events.aspx?id=298" TargetMode="External"/><Relationship Id="rId27" Type="http://schemas.openxmlformats.org/officeDocument/2006/relationships/hyperlink" Target="http://www.asser.nl/events.aspx?id=29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3</cp:revision>
  <cp:lastPrinted>2012-04-11T08:36:00Z</cp:lastPrinted>
  <dcterms:created xsi:type="dcterms:W3CDTF">2012-04-16T15:39:00Z</dcterms:created>
  <dcterms:modified xsi:type="dcterms:W3CDTF">2012-04-16T15:40:00Z</dcterms:modified>
</cp:coreProperties>
</file>