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9D014C">
        <w:rPr>
          <w:rFonts w:ascii="Cambria" w:hAnsi="Cambria"/>
          <w:sz w:val="32"/>
          <w:szCs w:val="32"/>
          <w:lang w:val="en-GB"/>
        </w:rPr>
        <w:t>s</w:t>
      </w:r>
      <w:r w:rsidRPr="00EA3F8B">
        <w:rPr>
          <w:rFonts w:ascii="Cambria" w:hAnsi="Cambria"/>
          <w:sz w:val="32"/>
          <w:szCs w:val="32"/>
          <w:lang w:val="en-GB"/>
        </w:rPr>
        <w:t xml:space="preserve"> 1</w:t>
      </w:r>
      <w:r w:rsidR="002A0857">
        <w:rPr>
          <w:rFonts w:ascii="Cambria" w:hAnsi="Cambria"/>
          <w:sz w:val="32"/>
          <w:szCs w:val="32"/>
          <w:lang w:val="en-GB"/>
        </w:rPr>
        <w:t>8</w:t>
      </w:r>
      <w:r w:rsidR="009D014C">
        <w:rPr>
          <w:rFonts w:ascii="Cambria" w:hAnsi="Cambria"/>
          <w:sz w:val="32"/>
          <w:szCs w:val="32"/>
          <w:lang w:val="en-GB"/>
        </w:rPr>
        <w:t>-19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2A0857">
        <w:rPr>
          <w:rFonts w:ascii="Cambria" w:hAnsi="Cambria"/>
          <w:sz w:val="26"/>
          <w:szCs w:val="26"/>
          <w:lang w:val="en-GB"/>
        </w:rPr>
        <w:t xml:space="preserve">30 April </w:t>
      </w:r>
      <w:r w:rsidRPr="00EA3F8B">
        <w:rPr>
          <w:rFonts w:ascii="Cambria" w:hAnsi="Cambria"/>
          <w:sz w:val="26"/>
          <w:szCs w:val="26"/>
          <w:lang w:val="en-GB"/>
        </w:rPr>
        <w:t>–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9D014C">
        <w:rPr>
          <w:rFonts w:ascii="Cambria" w:hAnsi="Cambria"/>
          <w:sz w:val="26"/>
          <w:szCs w:val="26"/>
          <w:lang w:val="en-GB"/>
        </w:rPr>
        <w:t>13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2A0857">
        <w:rPr>
          <w:rFonts w:ascii="Cambria" w:hAnsi="Cambria"/>
          <w:sz w:val="26"/>
          <w:szCs w:val="26"/>
          <w:lang w:val="en-GB"/>
        </w:rPr>
        <w:t xml:space="preserve">May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003AB3" w:rsidRPr="00EA3F8B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2E7BD7" w:rsidRPr="00EA3F8B" w:rsidTr="00816AEC">
        <w:trPr>
          <w:trHeight w:val="129"/>
        </w:trPr>
        <w:tc>
          <w:tcPr>
            <w:tcW w:w="1530" w:type="dxa"/>
          </w:tcPr>
          <w:p w:rsidR="002E7BD7" w:rsidRDefault="002E7BD7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April</w:t>
            </w:r>
          </w:p>
        </w:tc>
        <w:tc>
          <w:tcPr>
            <w:tcW w:w="7848" w:type="dxa"/>
          </w:tcPr>
          <w:p w:rsidR="002E7BD7" w:rsidRPr="002E7BD7" w:rsidRDefault="002E7BD7" w:rsidP="004F6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Policy dialogue on regional cooperation in the Balkans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A436D70" wp14:editId="77CA22CC">
                  <wp:extent cx="161925" cy="152400"/>
                  <wp:effectExtent l="0" t="0" r="9525" b="0"/>
                  <wp:docPr id="38" name="Picture 38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3D7" w:rsidRPr="00EA3F8B" w:rsidTr="00543B6F">
        <w:trPr>
          <w:trHeight w:val="129"/>
        </w:trPr>
        <w:tc>
          <w:tcPr>
            <w:tcW w:w="1530" w:type="dxa"/>
          </w:tcPr>
          <w:p w:rsidR="009043D7" w:rsidRPr="00EA3F8B" w:rsidRDefault="009043D7" w:rsidP="00543B6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 May</w:t>
            </w:r>
          </w:p>
        </w:tc>
        <w:tc>
          <w:tcPr>
            <w:tcW w:w="7848" w:type="dxa"/>
          </w:tcPr>
          <w:p w:rsidR="009043D7" w:rsidRPr="00F76158" w:rsidRDefault="009043D7" w:rsidP="00D646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Regional </w:t>
            </w:r>
            <w:r w:rsidR="00D646EA">
              <w:rPr>
                <w:rFonts w:asciiTheme="majorHAnsi" w:hAnsiTheme="majorHAnsi" w:cstheme="minorHAnsi"/>
                <w:lang w:val="en-GB"/>
              </w:rPr>
              <w:t>R</w:t>
            </w:r>
            <w:r>
              <w:rPr>
                <w:rFonts w:asciiTheme="majorHAnsi" w:hAnsiTheme="majorHAnsi" w:cstheme="minorHAnsi"/>
                <w:lang w:val="en-GB"/>
              </w:rPr>
              <w:t xml:space="preserve">eport on Western Balkans </w:t>
            </w:r>
            <w:bookmarkStart w:id="0" w:name="_GoBack"/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81AE62C" wp14:editId="4AFCF45C">
                  <wp:extent cx="161925" cy="152400"/>
                  <wp:effectExtent l="0" t="0" r="9525" b="0"/>
                  <wp:docPr id="43" name="Picture 43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03AB3" w:rsidRPr="00D646EA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4E709F" w:rsidRPr="00EA3F8B" w:rsidTr="00D11A3A">
        <w:trPr>
          <w:trHeight w:val="129"/>
        </w:trPr>
        <w:tc>
          <w:tcPr>
            <w:tcW w:w="1530" w:type="dxa"/>
          </w:tcPr>
          <w:p w:rsidR="004E709F" w:rsidRDefault="004E709F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11 May</w:t>
            </w:r>
          </w:p>
        </w:tc>
        <w:tc>
          <w:tcPr>
            <w:tcW w:w="7848" w:type="dxa"/>
          </w:tcPr>
          <w:p w:rsidR="004E709F" w:rsidRPr="004E709F" w:rsidRDefault="004E709F" w:rsidP="00D646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  <w:lang w:val="en-GB"/>
              </w:rPr>
              <w:t xml:space="preserve">Regional </w:t>
            </w:r>
            <w:r w:rsidR="00D646EA">
              <w:rPr>
                <w:rFonts w:asciiTheme="majorHAnsi" w:hAnsiTheme="majorHAnsi"/>
                <w:lang w:val="en-GB"/>
              </w:rPr>
              <w:t>R</w:t>
            </w:r>
            <w:r>
              <w:rPr>
                <w:rFonts w:asciiTheme="majorHAnsi" w:hAnsiTheme="majorHAnsi"/>
                <w:lang w:val="en-GB"/>
              </w:rPr>
              <w:t xml:space="preserve">eport on the </w:t>
            </w:r>
            <w:r w:rsidR="00D646EA">
              <w:rPr>
                <w:rFonts w:asciiTheme="majorHAnsi" w:hAnsiTheme="majorHAnsi"/>
                <w:lang w:val="en-GB"/>
              </w:rPr>
              <w:t xml:space="preserve">Near </w:t>
            </w:r>
            <w:r>
              <w:rPr>
                <w:rFonts w:asciiTheme="majorHAnsi" w:hAnsiTheme="majorHAnsi"/>
                <w:lang w:val="en-GB"/>
              </w:rPr>
              <w:t xml:space="preserve">East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BE52009" wp14:editId="400AB091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D78" w:rsidRPr="00EA3F8B" w:rsidTr="00D11A3A">
        <w:trPr>
          <w:trHeight w:val="129"/>
        </w:trPr>
        <w:tc>
          <w:tcPr>
            <w:tcW w:w="1530" w:type="dxa"/>
          </w:tcPr>
          <w:p w:rsidR="00DB3D78" w:rsidRDefault="00DB3D78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11 May</w:t>
            </w:r>
          </w:p>
        </w:tc>
        <w:tc>
          <w:tcPr>
            <w:tcW w:w="7848" w:type="dxa"/>
          </w:tcPr>
          <w:p w:rsidR="00DB3D78" w:rsidRDefault="00DB3D78" w:rsidP="00334D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Commission Communication concerning the Council’s position on providing further macro-financial assistance to Georgia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26B7C3C" wp14:editId="3089DDDE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C65" w:rsidRPr="00EA3F8B" w:rsidTr="00D11A3A">
        <w:trPr>
          <w:trHeight w:val="129"/>
        </w:trPr>
        <w:tc>
          <w:tcPr>
            <w:tcW w:w="1530" w:type="dxa"/>
          </w:tcPr>
          <w:p w:rsidR="00740C65" w:rsidRDefault="00740C65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Parliament Study</w:t>
            </w:r>
          </w:p>
        </w:tc>
        <w:tc>
          <w:tcPr>
            <w:tcW w:w="7848" w:type="dxa"/>
          </w:tcPr>
          <w:p w:rsidR="00740C65" w:rsidRDefault="00514EC1" w:rsidP="00334D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Impact of targeted sanctions on Belarus by Julia Korosteleva, School of Slavonic and East European Studies, University College London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65678E" w:rsidRPr="00EA3F8B" w:rsidTr="0014199D">
        <w:trPr>
          <w:trHeight w:val="129"/>
        </w:trPr>
        <w:tc>
          <w:tcPr>
            <w:tcW w:w="1530" w:type="dxa"/>
          </w:tcPr>
          <w:p w:rsidR="0065678E" w:rsidRPr="00EA3F8B" w:rsidRDefault="00E81436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4 May</w:t>
            </w:r>
          </w:p>
        </w:tc>
        <w:tc>
          <w:tcPr>
            <w:tcW w:w="7848" w:type="dxa"/>
          </w:tcPr>
          <w:p w:rsidR="0065678E" w:rsidRPr="003C3D33" w:rsidRDefault="00E81436" w:rsidP="00C247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>EU and USA agree to recognis</w:t>
            </w:r>
            <w:r w:rsidR="001D4087">
              <w:rPr>
                <w:rFonts w:asciiTheme="majorHAnsi" w:hAnsiTheme="majorHAnsi"/>
                <w:bCs/>
                <w:lang w:val="en-GB"/>
              </w:rPr>
              <w:t>e each other’s ‘trusted traders’</w:t>
            </w:r>
            <w:r>
              <w:rPr>
                <w:rFonts w:asciiTheme="majorHAnsi" w:hAnsiTheme="majorHAnsi"/>
                <w:bCs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3A3B69A" wp14:editId="2AA0FE4D">
                  <wp:extent cx="161925" cy="152400"/>
                  <wp:effectExtent l="0" t="0" r="9525" b="0"/>
                  <wp:docPr id="19" name="Picture 19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3D33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="00746C97">
              <w:rPr>
                <w:rFonts w:asciiTheme="majorHAnsi" w:hAnsiTheme="majorHAnsi"/>
                <w:bCs/>
                <w:lang w:val="en-GB"/>
              </w:rPr>
              <w:t xml:space="preserve">Customs and security information </w:t>
            </w:r>
            <w:r w:rsidR="003C3D33">
              <w:rPr>
                <w:rFonts w:ascii="Cambria" w:hAnsi="Cambria"/>
                <w:bCs/>
                <w:noProof/>
              </w:rPr>
              <w:drawing>
                <wp:inline distT="0" distB="0" distL="0" distR="0" wp14:anchorId="7D4886F7" wp14:editId="626EBE5E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84" w:rsidRPr="00EA3F8B" w:rsidTr="0014199D">
        <w:trPr>
          <w:trHeight w:val="129"/>
        </w:trPr>
        <w:tc>
          <w:tcPr>
            <w:tcW w:w="1530" w:type="dxa"/>
          </w:tcPr>
          <w:p w:rsidR="00C80A84" w:rsidRDefault="00C80A84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7 May</w:t>
            </w:r>
          </w:p>
        </w:tc>
        <w:tc>
          <w:tcPr>
            <w:tcW w:w="7848" w:type="dxa"/>
          </w:tcPr>
          <w:p w:rsidR="00C80A84" w:rsidRPr="00C80A84" w:rsidRDefault="00C80A84" w:rsidP="00C04D8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European Investment Bank signs framework agreement with Nepal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D8A1A1A" wp14:editId="46183E3F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9BF" w:rsidRPr="00EA3F8B" w:rsidTr="0014199D">
        <w:trPr>
          <w:trHeight w:val="129"/>
        </w:trPr>
        <w:tc>
          <w:tcPr>
            <w:tcW w:w="1530" w:type="dxa"/>
          </w:tcPr>
          <w:p w:rsidR="000E69BF" w:rsidRDefault="000E69BF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10 May</w:t>
            </w:r>
          </w:p>
        </w:tc>
        <w:tc>
          <w:tcPr>
            <w:tcW w:w="7848" w:type="dxa"/>
          </w:tcPr>
          <w:p w:rsidR="000E69BF" w:rsidRPr="00F22967" w:rsidRDefault="000E69BF" w:rsidP="006C614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>Commissioner De Gucht</w:t>
            </w:r>
            <w:r w:rsidR="00F22967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="006C614B">
              <w:rPr>
                <w:rFonts w:asciiTheme="majorHAnsi" w:hAnsiTheme="majorHAnsi"/>
                <w:bCs/>
                <w:lang w:val="en-GB"/>
              </w:rPr>
              <w:t>modernising</w:t>
            </w:r>
            <w:r w:rsidR="00F22967">
              <w:rPr>
                <w:rFonts w:asciiTheme="majorHAnsi" w:hAnsiTheme="majorHAnsi"/>
                <w:bCs/>
                <w:lang w:val="en-GB"/>
              </w:rPr>
              <w:t xml:space="preserve"> trade defence instruments </w:t>
            </w:r>
            <w:r w:rsidR="00F22967">
              <w:rPr>
                <w:rFonts w:ascii="Cambria" w:hAnsi="Cambria"/>
                <w:bCs/>
                <w:noProof/>
              </w:rPr>
              <w:drawing>
                <wp:inline distT="0" distB="0" distL="0" distR="0" wp14:anchorId="363A7535" wp14:editId="7BAF4845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D8F" w:rsidRPr="00EA3F8B" w:rsidTr="00514EC1">
        <w:trPr>
          <w:trHeight w:val="570"/>
        </w:trPr>
        <w:tc>
          <w:tcPr>
            <w:tcW w:w="1530" w:type="dxa"/>
          </w:tcPr>
          <w:p w:rsidR="00C04D8F" w:rsidRDefault="00C04D8F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10 May</w:t>
            </w:r>
          </w:p>
        </w:tc>
        <w:tc>
          <w:tcPr>
            <w:tcW w:w="7848" w:type="dxa"/>
          </w:tcPr>
          <w:p w:rsidR="00C04D8F" w:rsidRPr="00C04D8F" w:rsidRDefault="00C04D8F" w:rsidP="00C04D8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Vice president of the Commission, Antonio Tajani, and European CEOs from main industrial sectors to foster industrial cooperation with the US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7359C91" wp14:editId="0EC454C0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C1" w:rsidRPr="00EA3F8B" w:rsidTr="0014199D">
        <w:trPr>
          <w:trHeight w:val="129"/>
        </w:trPr>
        <w:tc>
          <w:tcPr>
            <w:tcW w:w="1530" w:type="dxa"/>
          </w:tcPr>
          <w:p w:rsidR="00514EC1" w:rsidRDefault="00514EC1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Parliament Study</w:t>
            </w:r>
          </w:p>
        </w:tc>
        <w:tc>
          <w:tcPr>
            <w:tcW w:w="7848" w:type="dxa"/>
          </w:tcPr>
          <w:p w:rsidR="00514EC1" w:rsidRPr="00514EC1" w:rsidRDefault="00514EC1" w:rsidP="00514EC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The political and social developments in Russia in 2012 as a consequence of its new role on the global stage by Philip Hanson, Chatham House and Fraser Cameron, EU-Russia Centre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8BDDD7D" wp14:editId="36E6ECA3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C3F" w:rsidRDefault="00093C3F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1F94" w:rsidRPr="00EA3F8B" w:rsidTr="00B21B19">
        <w:trPr>
          <w:trHeight w:val="129"/>
        </w:trPr>
        <w:tc>
          <w:tcPr>
            <w:tcW w:w="1530" w:type="dxa"/>
          </w:tcPr>
          <w:p w:rsidR="000F1F94" w:rsidRDefault="000F1F94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 May</w:t>
            </w:r>
          </w:p>
        </w:tc>
        <w:tc>
          <w:tcPr>
            <w:tcW w:w="7848" w:type="dxa"/>
          </w:tcPr>
          <w:p w:rsidR="000F1F94" w:rsidRDefault="000F1F94" w:rsidP="00B21B19">
            <w:pPr>
              <w:autoSpaceDE w:val="0"/>
              <w:autoSpaceDN w:val="0"/>
              <w:adjustRightInd w:val="0"/>
              <w:spacing w:after="0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CFSP budget update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BBB393D" wp14:editId="788F9CE4">
                  <wp:extent cx="161925" cy="152400"/>
                  <wp:effectExtent l="0" t="0" r="9525" b="0"/>
                  <wp:docPr id="58" name="Picture 58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082" w:rsidRDefault="00AC7082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C36DC" w:rsidRPr="00EA3F8B" w:rsidRDefault="004C36DC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0515B" w:rsidRPr="00EA3F8B" w:rsidRDefault="0050515B" w:rsidP="0050515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</w:t>
      </w: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0515B" w:rsidRPr="00EA3F8B" w:rsidTr="000E69BF">
        <w:trPr>
          <w:trHeight w:val="129"/>
        </w:trPr>
        <w:tc>
          <w:tcPr>
            <w:tcW w:w="1530" w:type="dxa"/>
          </w:tcPr>
          <w:p w:rsidR="0050515B" w:rsidRPr="007A1F19" w:rsidRDefault="0050515B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10 May</w:t>
            </w:r>
          </w:p>
        </w:tc>
        <w:tc>
          <w:tcPr>
            <w:tcW w:w="7848" w:type="dxa"/>
          </w:tcPr>
          <w:p w:rsidR="0050515B" w:rsidRPr="00E83031" w:rsidRDefault="0050515B" w:rsidP="000E69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European Defence Agency working with US on export controls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3AA6CB0" wp14:editId="0C18539D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09F" w:rsidRPr="00EA3F8B" w:rsidTr="000E69BF">
        <w:trPr>
          <w:trHeight w:val="129"/>
        </w:trPr>
        <w:tc>
          <w:tcPr>
            <w:tcW w:w="1530" w:type="dxa"/>
          </w:tcPr>
          <w:p w:rsidR="004E709F" w:rsidRDefault="004E709F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10 May</w:t>
            </w:r>
          </w:p>
        </w:tc>
        <w:tc>
          <w:tcPr>
            <w:tcW w:w="7848" w:type="dxa"/>
          </w:tcPr>
          <w:p w:rsidR="004E709F" w:rsidRDefault="004E709F" w:rsidP="004E70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Report for the second CNS (Convention on Nuclear Safety) in August 2012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8AADEAA" wp14:editId="7E2D10D2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D8D" w:rsidRPr="00EA3F8B" w:rsidTr="000E69BF">
        <w:trPr>
          <w:trHeight w:val="129"/>
        </w:trPr>
        <w:tc>
          <w:tcPr>
            <w:tcW w:w="1530" w:type="dxa"/>
          </w:tcPr>
          <w:p w:rsidR="00572D8D" w:rsidRDefault="00572D8D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lastRenderedPageBreak/>
              <w:t>11 May</w:t>
            </w:r>
          </w:p>
        </w:tc>
        <w:tc>
          <w:tcPr>
            <w:tcW w:w="7848" w:type="dxa"/>
          </w:tcPr>
          <w:p w:rsidR="00572D8D" w:rsidRDefault="00572D8D" w:rsidP="00572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EU concept for reception, stanging, onward movement and integration (RSOI) for EU-led military operations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6D267D8" wp14:editId="60E6B284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D8D" w:rsidRPr="00EA3F8B" w:rsidTr="000E69BF">
        <w:trPr>
          <w:trHeight w:val="129"/>
        </w:trPr>
        <w:tc>
          <w:tcPr>
            <w:tcW w:w="1530" w:type="dxa"/>
          </w:tcPr>
          <w:p w:rsidR="00572D8D" w:rsidRDefault="00572D8D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11 May </w:t>
            </w:r>
          </w:p>
        </w:tc>
        <w:tc>
          <w:tcPr>
            <w:tcW w:w="7848" w:type="dxa"/>
          </w:tcPr>
          <w:p w:rsidR="00572D8D" w:rsidRDefault="00572D8D" w:rsidP="00572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EU concept for strategic movement and transportation for EU-led military operations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C26415F" wp14:editId="62A6E673">
                  <wp:extent cx="161925" cy="152400"/>
                  <wp:effectExtent l="0" t="0" r="9525" b="0"/>
                  <wp:docPr id="18" name="Picture 18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15B" w:rsidRPr="00572D8D" w:rsidRDefault="0050515B" w:rsidP="005051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76799E" w:rsidRPr="00EA3F8B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F3508" w:rsidRPr="00EA3F8B" w:rsidTr="005A3EB9">
        <w:trPr>
          <w:trHeight w:val="129"/>
        </w:trPr>
        <w:tc>
          <w:tcPr>
            <w:tcW w:w="1530" w:type="dxa"/>
          </w:tcPr>
          <w:p w:rsidR="008F3508" w:rsidRDefault="008F3508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April</w:t>
            </w:r>
          </w:p>
        </w:tc>
        <w:tc>
          <w:tcPr>
            <w:tcW w:w="7848" w:type="dxa"/>
          </w:tcPr>
          <w:p w:rsidR="008F3508" w:rsidRPr="008F3508" w:rsidRDefault="008F3508" w:rsidP="008A3050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More humanitarian funding for victims of Pakistan’s floods and conflicts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B024BB9" wp14:editId="021FDBCA">
                  <wp:extent cx="161925" cy="152400"/>
                  <wp:effectExtent l="0" t="0" r="9525" b="0"/>
                  <wp:docPr id="33" name="Picture 33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2CF" w:rsidRPr="00EA3F8B" w:rsidTr="005A3EB9">
        <w:trPr>
          <w:trHeight w:val="129"/>
        </w:trPr>
        <w:tc>
          <w:tcPr>
            <w:tcW w:w="1530" w:type="dxa"/>
          </w:tcPr>
          <w:p w:rsidR="007152CF" w:rsidRDefault="007152CF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April</w:t>
            </w:r>
          </w:p>
        </w:tc>
        <w:tc>
          <w:tcPr>
            <w:tcW w:w="7848" w:type="dxa"/>
          </w:tcPr>
          <w:p w:rsidR="007152CF" w:rsidRPr="007152CF" w:rsidRDefault="007152CF" w:rsidP="007152CF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Council Decision on the signing of the Framework Agreement on Comprehensive Partnership and Cooperation between the EU and Vietnam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B3F9739" wp14:editId="71991A15">
                  <wp:extent cx="161925" cy="152400"/>
                  <wp:effectExtent l="0" t="0" r="9525" b="0"/>
                  <wp:docPr id="59" name="Picture 59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2CF" w:rsidRPr="00EA3F8B" w:rsidTr="005A3EB9">
        <w:trPr>
          <w:trHeight w:val="129"/>
        </w:trPr>
        <w:tc>
          <w:tcPr>
            <w:tcW w:w="1530" w:type="dxa"/>
          </w:tcPr>
          <w:p w:rsidR="007152CF" w:rsidRDefault="007152CF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April</w:t>
            </w:r>
          </w:p>
        </w:tc>
        <w:tc>
          <w:tcPr>
            <w:tcW w:w="7848" w:type="dxa"/>
          </w:tcPr>
          <w:p w:rsidR="007152CF" w:rsidRPr="007152CF" w:rsidRDefault="007152CF" w:rsidP="008A3050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Council Decision on the signing of the Framework Agreement on Comprehensive Partnership and Cooperation between the EU and Mongolia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98A8733" wp14:editId="727174D5">
                  <wp:extent cx="161925" cy="152400"/>
                  <wp:effectExtent l="0" t="0" r="9525" b="0"/>
                  <wp:docPr id="64" name="Picture 64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050" w:rsidRPr="00EA3F8B" w:rsidTr="005A3EB9">
        <w:trPr>
          <w:trHeight w:val="129"/>
        </w:trPr>
        <w:tc>
          <w:tcPr>
            <w:tcW w:w="1530" w:type="dxa"/>
          </w:tcPr>
          <w:p w:rsidR="008A3050" w:rsidRDefault="008A3050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 May</w:t>
            </w:r>
          </w:p>
        </w:tc>
        <w:tc>
          <w:tcPr>
            <w:tcW w:w="7848" w:type="dxa"/>
          </w:tcPr>
          <w:p w:rsidR="008A3050" w:rsidRPr="008A3050" w:rsidRDefault="008A3050" w:rsidP="008A3050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Commissioner Piebalgs announces new food security support to Kenya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59C1042" wp14:editId="4F2877A3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6EA" w:rsidRPr="00EA3F8B" w:rsidTr="00F43EBD">
        <w:trPr>
          <w:trHeight w:val="129"/>
        </w:trPr>
        <w:tc>
          <w:tcPr>
            <w:tcW w:w="1530" w:type="dxa"/>
          </w:tcPr>
          <w:p w:rsidR="00D646EA" w:rsidRDefault="00D646EA" w:rsidP="00F43EB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 May</w:t>
            </w:r>
          </w:p>
        </w:tc>
        <w:tc>
          <w:tcPr>
            <w:tcW w:w="7848" w:type="dxa"/>
          </w:tcPr>
          <w:p w:rsidR="00D646EA" w:rsidRPr="008F24F5" w:rsidRDefault="00D646EA" w:rsidP="00F43EB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Council imposes sanctions on coup leaders in Guinea-Bissau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226281B" wp14:editId="2CDD5F43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Cs/>
                <w:lang w:val="en-GB"/>
              </w:rPr>
              <w:t xml:space="preserve"> Council Regulation (EU) No 377/2012 concerning restrictive measures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39C63CF" wp14:editId="61ADC733">
                  <wp:extent cx="161925" cy="152400"/>
                  <wp:effectExtent l="0" t="0" r="9525" b="0"/>
                  <wp:docPr id="39" name="Picture 39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6EA" w:rsidRPr="00EA3F8B" w:rsidTr="00F43EBD">
        <w:trPr>
          <w:trHeight w:val="129"/>
        </w:trPr>
        <w:tc>
          <w:tcPr>
            <w:tcW w:w="1530" w:type="dxa"/>
          </w:tcPr>
          <w:p w:rsidR="00D646EA" w:rsidRPr="00EA3F8B" w:rsidRDefault="00D646EA" w:rsidP="00F43EB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11 May</w:t>
            </w:r>
          </w:p>
        </w:tc>
        <w:tc>
          <w:tcPr>
            <w:tcW w:w="7848" w:type="dxa"/>
          </w:tcPr>
          <w:p w:rsidR="00D646EA" w:rsidRPr="004B280D" w:rsidRDefault="00D646EA" w:rsidP="00F43E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EU signs historic partnership and cooperation agreement with Iraq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F72AD31" wp14:editId="2D6B1103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:rsidR="0051728F" w:rsidRPr="00EA3F8B" w:rsidRDefault="0051728F" w:rsidP="0051728F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9453D" w:rsidRPr="00EA3F8B" w:rsidRDefault="00E9453D" w:rsidP="00E9453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EXTERNAL DIMENSION OF AFSJ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C6F6B" w:rsidRPr="00EA3F8B" w:rsidTr="00D11A3A">
        <w:trPr>
          <w:trHeight w:val="129"/>
        </w:trPr>
        <w:tc>
          <w:tcPr>
            <w:tcW w:w="1530" w:type="dxa"/>
          </w:tcPr>
          <w:p w:rsidR="00AC6F6B" w:rsidRDefault="00D535C5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May</w:t>
            </w:r>
          </w:p>
        </w:tc>
        <w:tc>
          <w:tcPr>
            <w:tcW w:w="7848" w:type="dxa"/>
          </w:tcPr>
          <w:p w:rsidR="00AC6F6B" w:rsidRPr="00AC6F6B" w:rsidRDefault="00D535C5" w:rsidP="00D535C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Commission Implementing Decision 2012/233/EU determining the date from which the Visa Information System is to start operations in a second region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D32CBC1" wp14:editId="30BF87A7">
                  <wp:extent cx="161925" cy="152400"/>
                  <wp:effectExtent l="0" t="0" r="9525" b="0"/>
                  <wp:docPr id="40" name="Picture 40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Cs/>
              </w:rPr>
              <w:t xml:space="preserve"> </w:t>
            </w:r>
          </w:p>
        </w:tc>
      </w:tr>
      <w:tr w:rsidR="004C36DC" w:rsidRPr="00EA3F8B" w:rsidTr="00D11A3A">
        <w:trPr>
          <w:trHeight w:val="129"/>
        </w:trPr>
        <w:tc>
          <w:tcPr>
            <w:tcW w:w="1530" w:type="dxa"/>
          </w:tcPr>
          <w:p w:rsidR="004C36DC" w:rsidRDefault="004C36DC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10 May</w:t>
            </w:r>
          </w:p>
        </w:tc>
        <w:tc>
          <w:tcPr>
            <w:tcW w:w="7848" w:type="dxa"/>
          </w:tcPr>
          <w:p w:rsidR="004C36DC" w:rsidRDefault="004C36DC" w:rsidP="004C36D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EU action on migratory pressures – A strategic response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1925" cy="152400"/>
                  <wp:effectExtent l="0" t="0" r="9525" b="0"/>
                  <wp:docPr id="32" name="Picture 32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9DD" w:rsidRPr="00EA3F8B" w:rsidTr="00D11A3A">
        <w:trPr>
          <w:trHeight w:val="129"/>
        </w:trPr>
        <w:tc>
          <w:tcPr>
            <w:tcW w:w="1530" w:type="dxa"/>
          </w:tcPr>
          <w:p w:rsidR="009119DD" w:rsidRDefault="009119DD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10 May</w:t>
            </w:r>
          </w:p>
        </w:tc>
        <w:tc>
          <w:tcPr>
            <w:tcW w:w="7848" w:type="dxa"/>
          </w:tcPr>
          <w:p w:rsidR="009119DD" w:rsidRDefault="009119DD" w:rsidP="00D535C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Temporary reintroduction of Polish border controls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24C4F2F" wp14:editId="2486A387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53D" w:rsidRPr="00EA3F8B" w:rsidRDefault="00E9453D" w:rsidP="00E9453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03047" w:rsidRDefault="008E7EF6" w:rsidP="001C33DA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FUNDING FOR EU EXTERNAL ACTION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E7EF6" w:rsidRPr="00EA3F8B" w:rsidTr="00740C65">
        <w:trPr>
          <w:trHeight w:val="129"/>
        </w:trPr>
        <w:tc>
          <w:tcPr>
            <w:tcW w:w="1530" w:type="dxa"/>
          </w:tcPr>
          <w:p w:rsidR="008E7EF6" w:rsidRDefault="008E7EF6" w:rsidP="00740C6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Multiannual Financial Framework</w:t>
            </w:r>
          </w:p>
        </w:tc>
        <w:tc>
          <w:tcPr>
            <w:tcW w:w="7848" w:type="dxa"/>
          </w:tcPr>
          <w:p w:rsidR="008E7EF6" w:rsidRDefault="008E7EF6" w:rsidP="008E7EF6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External action 2014-2020 – total proposed budget: </w:t>
            </w:r>
            <w:r>
              <w:rPr>
                <w:rFonts w:ascii="Cambria" w:hAnsi="Cambria"/>
                <w:bCs/>
              </w:rPr>
              <w:t>€</w:t>
            </w:r>
            <w:r>
              <w:rPr>
                <w:rFonts w:asciiTheme="majorHAnsi" w:hAnsiTheme="majorHAnsi"/>
                <w:bCs/>
              </w:rPr>
              <w:t xml:space="preserve">70bn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047" w:rsidRPr="00EA3F8B" w:rsidTr="00740C65">
        <w:trPr>
          <w:trHeight w:val="129"/>
        </w:trPr>
        <w:tc>
          <w:tcPr>
            <w:tcW w:w="1530" w:type="dxa"/>
          </w:tcPr>
          <w:p w:rsidR="00B03047" w:rsidRDefault="008E7EF6" w:rsidP="00740C6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Public Consultation Report</w:t>
            </w:r>
          </w:p>
        </w:tc>
        <w:tc>
          <w:tcPr>
            <w:tcW w:w="7848" w:type="dxa"/>
          </w:tcPr>
          <w:p w:rsidR="00B03047" w:rsidRDefault="008E7EF6" w:rsidP="00740C6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What funding for EU external action after 2013?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3047" w:rsidRPr="00B03047" w:rsidRDefault="00B03047" w:rsidP="00B03047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8E7EF6" w:rsidRDefault="008E7EF6" w:rsidP="008E7EF6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UN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E7EF6" w:rsidRPr="00EA3F8B" w:rsidTr="00740C65">
        <w:trPr>
          <w:trHeight w:val="129"/>
        </w:trPr>
        <w:tc>
          <w:tcPr>
            <w:tcW w:w="1530" w:type="dxa"/>
          </w:tcPr>
          <w:p w:rsidR="008E7EF6" w:rsidRDefault="008E7EF6" w:rsidP="00740C6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10 May</w:t>
            </w:r>
          </w:p>
        </w:tc>
        <w:tc>
          <w:tcPr>
            <w:tcW w:w="7848" w:type="dxa"/>
          </w:tcPr>
          <w:p w:rsidR="008E7EF6" w:rsidRDefault="008E7EF6" w:rsidP="00740C6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EU medium-term priorities at the UN (2012-2014)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40C722B" wp14:editId="6C8484D4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EF6" w:rsidRDefault="008E7EF6" w:rsidP="008E7EF6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C33DA" w:rsidRPr="00EA3F8B" w:rsidRDefault="00B03047" w:rsidP="001C33DA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4E709F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ASIA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676CB" w:rsidRPr="00EA3F8B" w:rsidTr="0072146A">
        <w:trPr>
          <w:trHeight w:val="129"/>
        </w:trPr>
        <w:tc>
          <w:tcPr>
            <w:tcW w:w="1530" w:type="dxa"/>
          </w:tcPr>
          <w:p w:rsidR="00C676CB" w:rsidRDefault="00C676CB" w:rsidP="007214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7 May</w:t>
            </w:r>
          </w:p>
        </w:tc>
        <w:tc>
          <w:tcPr>
            <w:tcW w:w="7848" w:type="dxa"/>
          </w:tcPr>
          <w:p w:rsidR="00C676CB" w:rsidRPr="00635F76" w:rsidRDefault="00C676CB" w:rsidP="00635F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GB"/>
              </w:rPr>
              <w:t>Annual Report</w:t>
            </w:r>
            <w:r w:rsidR="00635F76">
              <w:rPr>
                <w:rFonts w:asciiTheme="majorHAnsi" w:hAnsiTheme="majorHAnsi"/>
                <w:lang w:val="en-GB"/>
              </w:rPr>
              <w:t>s</w:t>
            </w:r>
            <w:r>
              <w:rPr>
                <w:rFonts w:asciiTheme="majorHAnsi" w:hAnsiTheme="majorHAnsi"/>
                <w:lang w:val="en-GB"/>
              </w:rPr>
              <w:t xml:space="preserve"> 2011 on Macao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EA58098" wp14:editId="6E432CE5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5F76">
              <w:rPr>
                <w:rFonts w:asciiTheme="majorHAnsi" w:hAnsiTheme="majorHAnsi"/>
                <w:lang w:val="en-GB"/>
              </w:rPr>
              <w:t xml:space="preserve"> and on Hong Kong </w:t>
            </w:r>
            <w:r w:rsidR="00635F76">
              <w:rPr>
                <w:rFonts w:ascii="Cambria" w:hAnsi="Cambria"/>
                <w:bCs/>
                <w:noProof/>
              </w:rPr>
              <w:drawing>
                <wp:inline distT="0" distB="0" distL="0" distR="0" wp14:anchorId="221E39B1" wp14:editId="7C97EF5F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09F" w:rsidRPr="00EA3F8B" w:rsidTr="0072146A">
        <w:trPr>
          <w:trHeight w:val="129"/>
        </w:trPr>
        <w:tc>
          <w:tcPr>
            <w:tcW w:w="1530" w:type="dxa"/>
          </w:tcPr>
          <w:p w:rsidR="004E709F" w:rsidRDefault="004E709F" w:rsidP="007214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11 May</w:t>
            </w:r>
          </w:p>
        </w:tc>
        <w:tc>
          <w:tcPr>
            <w:tcW w:w="7848" w:type="dxa"/>
          </w:tcPr>
          <w:p w:rsidR="004E709F" w:rsidRPr="004E709F" w:rsidRDefault="004E709F" w:rsidP="00D646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GB"/>
              </w:rPr>
              <w:t xml:space="preserve">Regional </w:t>
            </w:r>
            <w:r w:rsidR="00D646EA">
              <w:rPr>
                <w:rFonts w:asciiTheme="majorHAnsi" w:hAnsiTheme="majorHAnsi"/>
                <w:lang w:val="en-GB"/>
              </w:rPr>
              <w:t>R</w:t>
            </w:r>
            <w:r>
              <w:rPr>
                <w:rFonts w:asciiTheme="majorHAnsi" w:hAnsiTheme="majorHAnsi"/>
                <w:lang w:val="en-GB"/>
              </w:rPr>
              <w:t xml:space="preserve">eport on South West Asia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F66BEC4" wp14:editId="53B148C8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28F" w:rsidRPr="00EA3F8B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842EA" w:rsidRPr="00EA3F8B" w:rsidTr="00985C9A">
        <w:trPr>
          <w:trHeight w:val="129"/>
        </w:trPr>
        <w:tc>
          <w:tcPr>
            <w:tcW w:w="1530" w:type="dxa"/>
          </w:tcPr>
          <w:p w:rsidR="00E842EA" w:rsidRPr="00EA3F8B" w:rsidRDefault="00E842EA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14-16 May</w:t>
            </w:r>
          </w:p>
        </w:tc>
        <w:tc>
          <w:tcPr>
            <w:tcW w:w="7848" w:type="dxa"/>
          </w:tcPr>
          <w:p w:rsidR="00E842EA" w:rsidRPr="00EA3F8B" w:rsidRDefault="00E842EA" w:rsidP="00E842EA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‘Comparing and contrasting “Europeanization”: concepts and experiences’, Conference organised by the Institute of International Economic Relations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lastRenderedPageBreak/>
              <w:t xml:space="preserve">(IIER/IDOS), Athens, Greece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18987969" wp14:editId="2C768238">
                  <wp:extent cx="161925" cy="152400"/>
                  <wp:effectExtent l="0" t="0" r="9525" b="0"/>
                  <wp:docPr id="50" name="Picture 50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F4E" w:rsidRPr="00EA3F8B" w:rsidTr="00985C9A">
        <w:trPr>
          <w:trHeight w:val="129"/>
        </w:trPr>
        <w:tc>
          <w:tcPr>
            <w:tcW w:w="1530" w:type="dxa"/>
          </w:tcPr>
          <w:p w:rsidR="00347F4E" w:rsidRPr="00EA3F8B" w:rsidRDefault="00347F4E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lastRenderedPageBreak/>
              <w:t>17-18 May</w:t>
            </w:r>
          </w:p>
        </w:tc>
        <w:tc>
          <w:tcPr>
            <w:tcW w:w="7848" w:type="dxa"/>
          </w:tcPr>
          <w:p w:rsidR="00347F4E" w:rsidRPr="006C614B" w:rsidRDefault="00347F4E" w:rsidP="006C614B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‘International Conference on European Debt Crisis’, Annual conference organised by the Centre </w:t>
            </w:r>
            <w:r w:rsidR="006C614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f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o</w:t>
            </w:r>
            <w:r w:rsidR="006C614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r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European Studies (CES) of Kirklareli University, Kirklareli, Turkey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596E6659" wp14:editId="7B595386">
                  <wp:extent cx="161925" cy="152400"/>
                  <wp:effectExtent l="0" t="0" r="9525" b="0"/>
                  <wp:docPr id="51" name="Picture 51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E9" w:rsidRPr="00EA3F8B" w:rsidTr="00985C9A">
        <w:trPr>
          <w:trHeight w:val="129"/>
        </w:trPr>
        <w:tc>
          <w:tcPr>
            <w:tcW w:w="1530" w:type="dxa"/>
          </w:tcPr>
          <w:p w:rsidR="00F406E9" w:rsidRDefault="00F406E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17-19 May</w:t>
            </w:r>
          </w:p>
        </w:tc>
        <w:tc>
          <w:tcPr>
            <w:tcW w:w="7848" w:type="dxa"/>
          </w:tcPr>
          <w:p w:rsidR="00F406E9" w:rsidRPr="00214AAB" w:rsidRDefault="00F406E9" w:rsidP="00F406E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‘Re-Inventing Easter</w:t>
            </w:r>
            <w:r w:rsidR="00214AA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Europe’, Conference organised by Euroacademia, Vienna, Austria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2CE62ACD" wp14:editId="1504BC56">
                  <wp:extent cx="161925" cy="152400"/>
                  <wp:effectExtent l="0" t="0" r="9525" b="0"/>
                  <wp:docPr id="52" name="Picture 52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EA3F8B" w:rsidTr="00985C9A">
        <w:trPr>
          <w:trHeight w:val="129"/>
        </w:trPr>
        <w:tc>
          <w:tcPr>
            <w:tcW w:w="1530" w:type="dxa"/>
          </w:tcPr>
          <w:p w:rsidR="00F32AD6" w:rsidRPr="00EA3F8B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25 May</w:t>
            </w:r>
          </w:p>
        </w:tc>
        <w:tc>
          <w:tcPr>
            <w:tcW w:w="7848" w:type="dxa"/>
          </w:tcPr>
          <w:p w:rsidR="00F32AD6" w:rsidRPr="00EA3F8B" w:rsidRDefault="00F32AD6" w:rsidP="00FD76F5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‘Human rights and the EU crisis management operations: a duty to respect and to protect?’ </w:t>
            </w:r>
            <w:r w:rsidR="00FD76F5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W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orkshop organised by T.M.C. Asser Instituut, 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CLEER and </w:t>
            </w:r>
            <w:r w:rsidR="00472C41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NLDA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8E759E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The Hague,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NL </w:t>
            </w:r>
            <w:r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71B9FC1E" wp14:editId="0709F2AE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087" w:rsidRPr="00EA3F8B" w:rsidTr="00985C9A">
        <w:trPr>
          <w:trHeight w:val="129"/>
        </w:trPr>
        <w:tc>
          <w:tcPr>
            <w:tcW w:w="1530" w:type="dxa"/>
          </w:tcPr>
          <w:p w:rsidR="001D4087" w:rsidRDefault="001D4087" w:rsidP="00E54DB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29 May</w:t>
            </w:r>
          </w:p>
        </w:tc>
        <w:tc>
          <w:tcPr>
            <w:tcW w:w="7848" w:type="dxa"/>
          </w:tcPr>
          <w:p w:rsidR="001D4087" w:rsidRDefault="001D4087" w:rsidP="00E54DB6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lang w:val="en-GB"/>
              </w:rPr>
              <w:t xml:space="preserve">‘ACELG Roundtable Discussion on ACTA Agreement’, Discussion organised by Dr. Elaine Fahey and Dr. Christina Eckes, </w:t>
            </w:r>
            <w:smartTag w:uri="urn:schemas-microsoft-com:office:smarttags" w:element="City">
              <w:r>
                <w:rPr>
                  <w:rStyle w:val="enhancedlinksboxtitle2"/>
                  <w:rFonts w:ascii="Cambria" w:hAnsi="Cambria" w:cs="Arial"/>
                  <w:b w:val="0"/>
                  <w:lang w:val="en-GB"/>
                </w:rPr>
                <w:t>Amsterdam</w:t>
              </w:r>
            </w:smartTag>
            <w:r>
              <w:rPr>
                <w:rStyle w:val="enhancedlinksboxtitle2"/>
                <w:rFonts w:ascii="Cambria" w:hAnsi="Cambria" w:cs="Arial"/>
                <w:b w:val="0"/>
                <w:lang w:val="en-GB"/>
              </w:rPr>
              <w:t xml:space="preserve">, NL </w:t>
            </w:r>
            <w:hyperlink r:id="rId46" w:history="1">
              <w:r w:rsidR="0037204D">
                <w:rPr>
                  <w:rFonts w:ascii="Cambria" w:hAnsi="Cambria"/>
                  <w:noProof/>
                  <w:lang w:val="da-DK" w:eastAsia="da-DK"/>
                </w:rPr>
                <w:pict w14:anchorId="330897A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ArticlesIcon1.jpg" href="http://www.asser.nl/events.aspx?id=2" style="width:12.75pt;height:12pt;visibility:visible" o:button="t">
                    <v:fill o:detectmouseclick="t"/>
                    <v:imagedata r:id="rId47" o:title=""/>
                  </v:shape>
                </w:pict>
              </w:r>
            </w:hyperlink>
          </w:p>
        </w:tc>
      </w:tr>
      <w:tr w:rsidR="00D37A05" w:rsidRPr="00EA3F8B" w:rsidTr="00985C9A">
        <w:trPr>
          <w:trHeight w:val="129"/>
        </w:trPr>
        <w:tc>
          <w:tcPr>
            <w:tcW w:w="1530" w:type="dxa"/>
          </w:tcPr>
          <w:p w:rsidR="00D37A05" w:rsidRDefault="00D37A05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30 May - </w:t>
            </w:r>
          </w:p>
          <w:p w:rsidR="00D37A05" w:rsidRPr="00EA3F8B" w:rsidRDefault="00D37A05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 June</w:t>
            </w:r>
          </w:p>
        </w:tc>
        <w:tc>
          <w:tcPr>
            <w:tcW w:w="7848" w:type="dxa"/>
          </w:tcPr>
          <w:p w:rsidR="00D37A05" w:rsidRPr="00222166" w:rsidRDefault="00D37A05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‘XXV Congress of the International Federation for European Law (FIDE)’</w:t>
            </w:r>
            <w:r w:rsidR="0022216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Congress organised by Estonian Association for European Law of the Estonian Lawyers Association, Tallinn, Estonia </w:t>
            </w:r>
            <w:r w:rsidR="00222166">
              <w:rPr>
                <w:rFonts w:ascii="Cambria" w:hAnsi="Cambria"/>
                <w:bCs/>
                <w:noProof/>
              </w:rPr>
              <w:drawing>
                <wp:inline distT="0" distB="0" distL="0" distR="0" wp14:anchorId="3BE2F818" wp14:editId="0D548E15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B6F" w:rsidRPr="00EA3F8B" w:rsidTr="00985C9A">
        <w:trPr>
          <w:trHeight w:val="129"/>
        </w:trPr>
        <w:tc>
          <w:tcPr>
            <w:tcW w:w="1530" w:type="dxa"/>
          </w:tcPr>
          <w:p w:rsidR="00543B6F" w:rsidRPr="00EA3F8B" w:rsidRDefault="00543B6F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7 June</w:t>
            </w:r>
          </w:p>
        </w:tc>
        <w:tc>
          <w:tcPr>
            <w:tcW w:w="7848" w:type="dxa"/>
          </w:tcPr>
          <w:p w:rsidR="00543B6F" w:rsidRPr="00EA3F8B" w:rsidRDefault="00543B6F" w:rsidP="00543B6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‘The EU and the BRICs in the Wake of the Eurozone Crisis’, Conference organised by the Aston Centre for Europe, </w:t>
            </w:r>
            <w:r w:rsidR="0097695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Birmingham,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UK</w:t>
            </w:r>
            <w:r w:rsidR="0097695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976959">
              <w:rPr>
                <w:rFonts w:ascii="Cambria" w:hAnsi="Cambria"/>
                <w:bCs/>
                <w:noProof/>
              </w:rPr>
              <w:drawing>
                <wp:inline distT="0" distB="0" distL="0" distR="0" wp14:anchorId="3F0080C9" wp14:editId="115987FF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959" w:rsidRPr="00EA3F8B" w:rsidTr="00985C9A">
        <w:trPr>
          <w:trHeight w:val="129"/>
        </w:trPr>
        <w:tc>
          <w:tcPr>
            <w:tcW w:w="1530" w:type="dxa"/>
          </w:tcPr>
          <w:p w:rsidR="00976959" w:rsidRPr="00EA3F8B" w:rsidRDefault="0097695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8-9 June</w:t>
            </w:r>
          </w:p>
        </w:tc>
        <w:tc>
          <w:tcPr>
            <w:tcW w:w="7848" w:type="dxa"/>
          </w:tcPr>
          <w:p w:rsidR="00976959" w:rsidRPr="00976959" w:rsidRDefault="00976959" w:rsidP="0097695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‘A Europe of Rights: the EU and the ECHR’, Workshop organised by Surrey School of Law and the Surrey European Law Unit (SELU), Guildford, UK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E6A6EFF" wp14:editId="4430F385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EA3F8B" w:rsidTr="00985C9A">
        <w:trPr>
          <w:trHeight w:val="129"/>
        </w:trPr>
        <w:tc>
          <w:tcPr>
            <w:tcW w:w="1530" w:type="dxa"/>
          </w:tcPr>
          <w:p w:rsidR="00F32AD6" w:rsidRPr="00EA3F8B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19 June</w:t>
            </w:r>
          </w:p>
        </w:tc>
        <w:tc>
          <w:tcPr>
            <w:tcW w:w="7848" w:type="dxa"/>
          </w:tcPr>
          <w:p w:rsidR="00F32AD6" w:rsidRPr="00EA3F8B" w:rsidRDefault="002641E5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‘Legal 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pproximation and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pplication of EU law in the Eastern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eighbourhood of the Europe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an Union: Towards a Common Regulatory Space?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’, Conference organised by 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ent Univer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s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it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y</w:t>
            </w:r>
            <w:r w:rsidR="00FD76F5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ent, 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 w:rsidR="00F32AD6" w:rsidRPr="00EA3F8B">
              <w:rPr>
                <w:rFonts w:ascii="Cambria" w:hAnsi="Cambria"/>
                <w:bCs/>
                <w:noProof/>
              </w:rPr>
              <w:drawing>
                <wp:inline distT="0" distB="0" distL="0" distR="0" wp14:anchorId="7540D5F1" wp14:editId="535C6C9F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>Edited by Linda Kr</w:t>
      </w:r>
      <w:r w:rsidRPr="00EA3F8B">
        <w:rPr>
          <w:snapToGrid w:val="0"/>
          <w:spacing w:val="-2"/>
          <w:sz w:val="16"/>
          <w:szCs w:val="16"/>
          <w:lang w:val="en-GB"/>
        </w:rPr>
        <w:t>ӕ</w:t>
      </w:r>
      <w:r w:rsidRPr="00EA3F8B">
        <w:rPr>
          <w:rFonts w:ascii="Cambria" w:hAnsi="Cambria" w:cs="Arial"/>
          <w:sz w:val="16"/>
          <w:szCs w:val="16"/>
          <w:lang w:val="en-GB"/>
        </w:rPr>
        <w:t>mer &amp; Dr. Tamara Takács</w:t>
      </w:r>
    </w:p>
    <w:sectPr w:rsidR="006F363E" w:rsidRPr="005C6618" w:rsidSect="00827079">
      <w:footerReference w:type="default" r:id="rId52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65" w:rsidRDefault="00740C65">
      <w:pPr>
        <w:spacing w:after="0" w:line="240" w:lineRule="auto"/>
      </w:pPr>
      <w:r>
        <w:separator/>
      </w:r>
    </w:p>
  </w:endnote>
  <w:endnote w:type="continuationSeparator" w:id="0">
    <w:p w:rsidR="00740C65" w:rsidRDefault="0074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65" w:rsidRDefault="00740C6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04D">
      <w:rPr>
        <w:noProof/>
      </w:rPr>
      <w:t>1</w:t>
    </w:r>
    <w:r>
      <w:rPr>
        <w:noProof/>
      </w:rPr>
      <w:fldChar w:fldCharType="end"/>
    </w:r>
  </w:p>
  <w:p w:rsidR="00740C65" w:rsidRDefault="00740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65" w:rsidRDefault="00740C65">
      <w:pPr>
        <w:spacing w:after="0" w:line="240" w:lineRule="auto"/>
      </w:pPr>
      <w:r>
        <w:separator/>
      </w:r>
    </w:p>
  </w:footnote>
  <w:footnote w:type="continuationSeparator" w:id="0">
    <w:p w:rsidR="00740C65" w:rsidRDefault="00740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70786"/>
    <w:rsid w:val="00086F3C"/>
    <w:rsid w:val="00093C3F"/>
    <w:rsid w:val="000A1A83"/>
    <w:rsid w:val="000A327C"/>
    <w:rsid w:val="000C6BD3"/>
    <w:rsid w:val="000C700C"/>
    <w:rsid w:val="000D4E84"/>
    <w:rsid w:val="000E69BF"/>
    <w:rsid w:val="000E6D49"/>
    <w:rsid w:val="000F1F94"/>
    <w:rsid w:val="001108DB"/>
    <w:rsid w:val="00115A39"/>
    <w:rsid w:val="00122B2A"/>
    <w:rsid w:val="0014199D"/>
    <w:rsid w:val="00162FBD"/>
    <w:rsid w:val="00172804"/>
    <w:rsid w:val="00181C4B"/>
    <w:rsid w:val="001A3109"/>
    <w:rsid w:val="001B6CF6"/>
    <w:rsid w:val="001C33DA"/>
    <w:rsid w:val="001D4087"/>
    <w:rsid w:val="001E662B"/>
    <w:rsid w:val="001F1052"/>
    <w:rsid w:val="00202BD2"/>
    <w:rsid w:val="00205AAF"/>
    <w:rsid w:val="00214AAB"/>
    <w:rsid w:val="0022173B"/>
    <w:rsid w:val="00222166"/>
    <w:rsid w:val="00232E1D"/>
    <w:rsid w:val="00237832"/>
    <w:rsid w:val="002540C0"/>
    <w:rsid w:val="002641E5"/>
    <w:rsid w:val="0026520D"/>
    <w:rsid w:val="002749A7"/>
    <w:rsid w:val="00280CDE"/>
    <w:rsid w:val="00287596"/>
    <w:rsid w:val="00297390"/>
    <w:rsid w:val="00297A55"/>
    <w:rsid w:val="002A074A"/>
    <w:rsid w:val="002A0857"/>
    <w:rsid w:val="002A1A59"/>
    <w:rsid w:val="002A3910"/>
    <w:rsid w:val="002B361F"/>
    <w:rsid w:val="002B7F58"/>
    <w:rsid w:val="002C7596"/>
    <w:rsid w:val="002D1824"/>
    <w:rsid w:val="002E7BD7"/>
    <w:rsid w:val="002F09BC"/>
    <w:rsid w:val="002F2B7B"/>
    <w:rsid w:val="002F771A"/>
    <w:rsid w:val="003028EE"/>
    <w:rsid w:val="003100E9"/>
    <w:rsid w:val="0031064A"/>
    <w:rsid w:val="00333AA8"/>
    <w:rsid w:val="00334D47"/>
    <w:rsid w:val="00340AA0"/>
    <w:rsid w:val="00347F4E"/>
    <w:rsid w:val="003530EC"/>
    <w:rsid w:val="00354E1C"/>
    <w:rsid w:val="003633C3"/>
    <w:rsid w:val="00366CA2"/>
    <w:rsid w:val="0037204D"/>
    <w:rsid w:val="003775B7"/>
    <w:rsid w:val="00381A3F"/>
    <w:rsid w:val="00395592"/>
    <w:rsid w:val="003966E7"/>
    <w:rsid w:val="003968BE"/>
    <w:rsid w:val="003A72D8"/>
    <w:rsid w:val="003C0FF4"/>
    <w:rsid w:val="003C3D33"/>
    <w:rsid w:val="003D2687"/>
    <w:rsid w:val="003D3765"/>
    <w:rsid w:val="003E4701"/>
    <w:rsid w:val="003E6D22"/>
    <w:rsid w:val="003F05A3"/>
    <w:rsid w:val="004140AF"/>
    <w:rsid w:val="00423286"/>
    <w:rsid w:val="004317D9"/>
    <w:rsid w:val="0044200C"/>
    <w:rsid w:val="00450BF9"/>
    <w:rsid w:val="00451358"/>
    <w:rsid w:val="00452DF4"/>
    <w:rsid w:val="0046136F"/>
    <w:rsid w:val="00462EDB"/>
    <w:rsid w:val="00471DBE"/>
    <w:rsid w:val="00472C41"/>
    <w:rsid w:val="004768A2"/>
    <w:rsid w:val="00486634"/>
    <w:rsid w:val="00497D8E"/>
    <w:rsid w:val="004B280D"/>
    <w:rsid w:val="004B54D8"/>
    <w:rsid w:val="004C2D9F"/>
    <w:rsid w:val="004C36DC"/>
    <w:rsid w:val="004C3EDD"/>
    <w:rsid w:val="004C6265"/>
    <w:rsid w:val="004E202E"/>
    <w:rsid w:val="004E3CB7"/>
    <w:rsid w:val="004E709F"/>
    <w:rsid w:val="004E7861"/>
    <w:rsid w:val="004F6017"/>
    <w:rsid w:val="004F6A5B"/>
    <w:rsid w:val="0050263C"/>
    <w:rsid w:val="00502D50"/>
    <w:rsid w:val="0050515B"/>
    <w:rsid w:val="0050563A"/>
    <w:rsid w:val="00514EC1"/>
    <w:rsid w:val="0051728F"/>
    <w:rsid w:val="0051743F"/>
    <w:rsid w:val="00517753"/>
    <w:rsid w:val="00533FE4"/>
    <w:rsid w:val="00543B6F"/>
    <w:rsid w:val="00572D8D"/>
    <w:rsid w:val="00591AA8"/>
    <w:rsid w:val="005A1BCF"/>
    <w:rsid w:val="005A3EB9"/>
    <w:rsid w:val="005C5BAC"/>
    <w:rsid w:val="005C6618"/>
    <w:rsid w:val="005C6AB7"/>
    <w:rsid w:val="005D10A4"/>
    <w:rsid w:val="005D1418"/>
    <w:rsid w:val="005D5C09"/>
    <w:rsid w:val="005D7783"/>
    <w:rsid w:val="005E276F"/>
    <w:rsid w:val="005E28EA"/>
    <w:rsid w:val="00606BB6"/>
    <w:rsid w:val="00610B38"/>
    <w:rsid w:val="006110F8"/>
    <w:rsid w:val="00614BD1"/>
    <w:rsid w:val="006251C1"/>
    <w:rsid w:val="006359F8"/>
    <w:rsid w:val="00635AD9"/>
    <w:rsid w:val="00635F76"/>
    <w:rsid w:val="0065678E"/>
    <w:rsid w:val="00657D49"/>
    <w:rsid w:val="00670D4A"/>
    <w:rsid w:val="006742DF"/>
    <w:rsid w:val="00676501"/>
    <w:rsid w:val="006775C4"/>
    <w:rsid w:val="0068367E"/>
    <w:rsid w:val="006A2C9D"/>
    <w:rsid w:val="006B302D"/>
    <w:rsid w:val="006B6CBA"/>
    <w:rsid w:val="006C614B"/>
    <w:rsid w:val="006D2E0C"/>
    <w:rsid w:val="006D3420"/>
    <w:rsid w:val="006E3D36"/>
    <w:rsid w:val="006E442A"/>
    <w:rsid w:val="006E53C8"/>
    <w:rsid w:val="006F363E"/>
    <w:rsid w:val="006F499F"/>
    <w:rsid w:val="007152CF"/>
    <w:rsid w:val="0072146A"/>
    <w:rsid w:val="007260D2"/>
    <w:rsid w:val="00732D6A"/>
    <w:rsid w:val="007379E6"/>
    <w:rsid w:val="00740C65"/>
    <w:rsid w:val="007414BD"/>
    <w:rsid w:val="00742453"/>
    <w:rsid w:val="00743E22"/>
    <w:rsid w:val="00746C97"/>
    <w:rsid w:val="0075023A"/>
    <w:rsid w:val="007649AC"/>
    <w:rsid w:val="0076799E"/>
    <w:rsid w:val="007738EE"/>
    <w:rsid w:val="0077604A"/>
    <w:rsid w:val="007826CC"/>
    <w:rsid w:val="007A1F19"/>
    <w:rsid w:val="007A3584"/>
    <w:rsid w:val="007A4EA0"/>
    <w:rsid w:val="007D2010"/>
    <w:rsid w:val="007E6EF2"/>
    <w:rsid w:val="007F04B6"/>
    <w:rsid w:val="007F5138"/>
    <w:rsid w:val="00806FA7"/>
    <w:rsid w:val="00816AEC"/>
    <w:rsid w:val="00827079"/>
    <w:rsid w:val="00836E80"/>
    <w:rsid w:val="008421D8"/>
    <w:rsid w:val="0085379B"/>
    <w:rsid w:val="00865D76"/>
    <w:rsid w:val="0086661B"/>
    <w:rsid w:val="00874872"/>
    <w:rsid w:val="0087594B"/>
    <w:rsid w:val="00876719"/>
    <w:rsid w:val="008A0369"/>
    <w:rsid w:val="008A0957"/>
    <w:rsid w:val="008A3050"/>
    <w:rsid w:val="008A72AC"/>
    <w:rsid w:val="008B0C77"/>
    <w:rsid w:val="008C2E27"/>
    <w:rsid w:val="008D3D3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77CF"/>
    <w:rsid w:val="00940E68"/>
    <w:rsid w:val="009443D9"/>
    <w:rsid w:val="00951C9A"/>
    <w:rsid w:val="009629B5"/>
    <w:rsid w:val="00965127"/>
    <w:rsid w:val="00974E96"/>
    <w:rsid w:val="00976959"/>
    <w:rsid w:val="00977C2D"/>
    <w:rsid w:val="00981A54"/>
    <w:rsid w:val="009846CF"/>
    <w:rsid w:val="00984848"/>
    <w:rsid w:val="00985C9A"/>
    <w:rsid w:val="00985E9F"/>
    <w:rsid w:val="00986070"/>
    <w:rsid w:val="009947EB"/>
    <w:rsid w:val="009C2CC8"/>
    <w:rsid w:val="009D014C"/>
    <w:rsid w:val="009E003E"/>
    <w:rsid w:val="00A1709F"/>
    <w:rsid w:val="00A2494D"/>
    <w:rsid w:val="00A334A0"/>
    <w:rsid w:val="00A40252"/>
    <w:rsid w:val="00A44CDF"/>
    <w:rsid w:val="00A45F74"/>
    <w:rsid w:val="00A531C6"/>
    <w:rsid w:val="00A56BEE"/>
    <w:rsid w:val="00A62CE2"/>
    <w:rsid w:val="00A74AD1"/>
    <w:rsid w:val="00A853F6"/>
    <w:rsid w:val="00A95FF3"/>
    <w:rsid w:val="00AC6F6B"/>
    <w:rsid w:val="00AC7082"/>
    <w:rsid w:val="00AE2AB3"/>
    <w:rsid w:val="00AE3BB7"/>
    <w:rsid w:val="00AF5357"/>
    <w:rsid w:val="00B03047"/>
    <w:rsid w:val="00B0418C"/>
    <w:rsid w:val="00B11217"/>
    <w:rsid w:val="00B11DF6"/>
    <w:rsid w:val="00B21B19"/>
    <w:rsid w:val="00B27CDE"/>
    <w:rsid w:val="00B34AF1"/>
    <w:rsid w:val="00B40043"/>
    <w:rsid w:val="00B45DDF"/>
    <w:rsid w:val="00B630DE"/>
    <w:rsid w:val="00B6582E"/>
    <w:rsid w:val="00B85145"/>
    <w:rsid w:val="00B9250F"/>
    <w:rsid w:val="00BA410A"/>
    <w:rsid w:val="00BA44CE"/>
    <w:rsid w:val="00BD0598"/>
    <w:rsid w:val="00BD21F4"/>
    <w:rsid w:val="00C04D8F"/>
    <w:rsid w:val="00C13DDC"/>
    <w:rsid w:val="00C247A3"/>
    <w:rsid w:val="00C269D8"/>
    <w:rsid w:val="00C27BF0"/>
    <w:rsid w:val="00C31D1D"/>
    <w:rsid w:val="00C5080B"/>
    <w:rsid w:val="00C52147"/>
    <w:rsid w:val="00C676CB"/>
    <w:rsid w:val="00C80A84"/>
    <w:rsid w:val="00C83343"/>
    <w:rsid w:val="00C86359"/>
    <w:rsid w:val="00C97769"/>
    <w:rsid w:val="00CD6894"/>
    <w:rsid w:val="00CE60FD"/>
    <w:rsid w:val="00CE6238"/>
    <w:rsid w:val="00D11021"/>
    <w:rsid w:val="00D11A3A"/>
    <w:rsid w:val="00D37A05"/>
    <w:rsid w:val="00D5242D"/>
    <w:rsid w:val="00D535C5"/>
    <w:rsid w:val="00D646EA"/>
    <w:rsid w:val="00D660F8"/>
    <w:rsid w:val="00D76849"/>
    <w:rsid w:val="00D76A46"/>
    <w:rsid w:val="00D83083"/>
    <w:rsid w:val="00D92ED9"/>
    <w:rsid w:val="00DA50C0"/>
    <w:rsid w:val="00DB3D78"/>
    <w:rsid w:val="00DB5715"/>
    <w:rsid w:val="00DD08B9"/>
    <w:rsid w:val="00DD7C55"/>
    <w:rsid w:val="00DE1170"/>
    <w:rsid w:val="00DE1927"/>
    <w:rsid w:val="00DF0053"/>
    <w:rsid w:val="00E00281"/>
    <w:rsid w:val="00E0069E"/>
    <w:rsid w:val="00E0480F"/>
    <w:rsid w:val="00E153DB"/>
    <w:rsid w:val="00E16472"/>
    <w:rsid w:val="00E24CF6"/>
    <w:rsid w:val="00E345C6"/>
    <w:rsid w:val="00E403E6"/>
    <w:rsid w:val="00E407E4"/>
    <w:rsid w:val="00E423D9"/>
    <w:rsid w:val="00E52208"/>
    <w:rsid w:val="00E65220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C3C28"/>
    <w:rsid w:val="00EC7101"/>
    <w:rsid w:val="00EF2054"/>
    <w:rsid w:val="00EF7470"/>
    <w:rsid w:val="00F042B7"/>
    <w:rsid w:val="00F056DD"/>
    <w:rsid w:val="00F11313"/>
    <w:rsid w:val="00F12B8A"/>
    <w:rsid w:val="00F22967"/>
    <w:rsid w:val="00F25C99"/>
    <w:rsid w:val="00F32AD6"/>
    <w:rsid w:val="00F335A1"/>
    <w:rsid w:val="00F406E9"/>
    <w:rsid w:val="00F43420"/>
    <w:rsid w:val="00F43807"/>
    <w:rsid w:val="00F43EBD"/>
    <w:rsid w:val="00F72758"/>
    <w:rsid w:val="00F76158"/>
    <w:rsid w:val="00F87E5F"/>
    <w:rsid w:val="00F9512F"/>
    <w:rsid w:val="00FA735B"/>
    <w:rsid w:val="00FB5BAD"/>
    <w:rsid w:val="00FB7E0D"/>
    <w:rsid w:val="00FC0F46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uiPriority w:val="99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uiPriority w:val="99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-lex.europa.eu/LexUriServ/LexUriServ.do?uri=COM:2012:0219:FIN:EN:PDF" TargetMode="External"/><Relationship Id="rId18" Type="http://schemas.openxmlformats.org/officeDocument/2006/relationships/hyperlink" Target="http://europa.eu/rapid/pressReleasesAction.do?reference=SPEECH/12/346&amp;format=HTML&amp;aged=0&amp;language=EN&amp;guiLanguage=en" TargetMode="External"/><Relationship Id="rId26" Type="http://schemas.openxmlformats.org/officeDocument/2006/relationships/hyperlink" Target="http://europa.eu/rapid/pressReleasesAction.do?reference=IP/12/441&amp;format=HTML&amp;aged=0&amp;language=EN&amp;guiLanguage=en" TargetMode="External"/><Relationship Id="rId39" Type="http://schemas.openxmlformats.org/officeDocument/2006/relationships/hyperlink" Target="http://register.consilium.europa.eu/pdf/en/12/st09/st09607.en12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gister.consilium.europa.eu/pdf/en/12/st09/st09560.en12.pdf" TargetMode="External"/><Relationship Id="rId34" Type="http://schemas.openxmlformats.org/officeDocument/2006/relationships/hyperlink" Target="http://register.consilium.europa.eu/pdf/en/12/st09/st09650.en12.pdf" TargetMode="External"/><Relationship Id="rId42" Type="http://schemas.openxmlformats.org/officeDocument/2006/relationships/hyperlink" Target="http://www.idec.gr/iier/" TargetMode="External"/><Relationship Id="rId47" Type="http://schemas.openxmlformats.org/officeDocument/2006/relationships/image" Target="media/image3.jpeg"/><Relationship Id="rId50" Type="http://schemas.openxmlformats.org/officeDocument/2006/relationships/hyperlink" Target="http://www.uaces.org/events/calendar/event.php?recordID=5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gister.consilium.europa.eu/pdf/en/12/st08/st08728.en12.pdf" TargetMode="External"/><Relationship Id="rId17" Type="http://schemas.openxmlformats.org/officeDocument/2006/relationships/hyperlink" Target="http://www.eib.org/about/press/2012/2012-056-framework-agreement-between-european-investment-bank-eib-and-nepalese-government.htm?media=rss&amp;language=en" TargetMode="External"/><Relationship Id="rId25" Type="http://schemas.openxmlformats.org/officeDocument/2006/relationships/hyperlink" Target="http://register.consilium.europa.eu/pdf/en/12/st09/st09798.en12.pdf" TargetMode="External"/><Relationship Id="rId33" Type="http://schemas.openxmlformats.org/officeDocument/2006/relationships/hyperlink" Target="http://eur-lex.europa.eu/LexUriServ/LexUriServ.do?uri=OJ:L:2012:117:0009:0010:EN:PDF" TargetMode="External"/><Relationship Id="rId38" Type="http://schemas.openxmlformats.org/officeDocument/2006/relationships/hyperlink" Target="http://register.consilium.europa.eu/pdf/en/12/st09/st09820.en12.pdf" TargetMode="External"/><Relationship Id="rId46" Type="http://schemas.openxmlformats.org/officeDocument/2006/relationships/hyperlink" Target="http://www.jur.uva.nl/acelg-news/news.cfm/E4C1E26C-2C74-404A-93D5CAB3045D0450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axation_customs/customs/policy_issues/customs_security/aeo/index_en.htm" TargetMode="External"/><Relationship Id="rId20" Type="http://schemas.openxmlformats.org/officeDocument/2006/relationships/hyperlink" Target="http://www.europarl.europa.eu/delegations/en/studiesdownload.html?languageDocument=EN&amp;file=73731" TargetMode="External"/><Relationship Id="rId29" Type="http://schemas.openxmlformats.org/officeDocument/2006/relationships/hyperlink" Target="http://europa.eu/rapid/pressReleasesAction.do?reference=IP/12/443&amp;format=HTML&amp;aged=0&amp;language=EN&amp;guiLanguage=en" TargetMode="External"/><Relationship Id="rId41" Type="http://schemas.openxmlformats.org/officeDocument/2006/relationships/hyperlink" Target="http://register.consilium.europa.eu/pdf/en/12/st09/st09762.en12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egister.consilium.europa.eu/pdf/en/12/st09/st09311.en12.pdf" TargetMode="External"/><Relationship Id="rId24" Type="http://schemas.openxmlformats.org/officeDocument/2006/relationships/hyperlink" Target="http://register.consilium.europa.eu/pdf/en/12/st09/st09844.en12.pdf" TargetMode="External"/><Relationship Id="rId32" Type="http://schemas.openxmlformats.org/officeDocument/2006/relationships/hyperlink" Target="http://europa.eu/rapid/pressReleasesAction.do?reference=IP/12/467&amp;format=HTML&amp;aged=0&amp;language=EN&amp;guiLanguage=en" TargetMode="External"/><Relationship Id="rId37" Type="http://schemas.openxmlformats.org/officeDocument/2006/relationships/hyperlink" Target="http://ec.europa.eu/europeaid/how/public-consultations/5240_en.htm" TargetMode="External"/><Relationship Id="rId40" Type="http://schemas.openxmlformats.org/officeDocument/2006/relationships/hyperlink" Target="http://register.consilium.europa.eu/pdf/en/12/st09/st09610.en12.pdf" TargetMode="External"/><Relationship Id="rId45" Type="http://schemas.openxmlformats.org/officeDocument/2006/relationships/hyperlink" Target="http://www.asser.nl/events.aspx?id=295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uropa.eu/rapid/pressReleasesAction.do?reference=IP/12/449&amp;format=HTML&amp;aged=0&amp;language=EN&amp;guiLanguage=en" TargetMode="External"/><Relationship Id="rId23" Type="http://schemas.openxmlformats.org/officeDocument/2006/relationships/hyperlink" Target="http://register.consilium.europa.eu/pdf/en/12/st09/st09802-ad01.en12.pdf" TargetMode="External"/><Relationship Id="rId28" Type="http://schemas.openxmlformats.org/officeDocument/2006/relationships/hyperlink" Target="http://register.consilium.europa.eu/pdf/en/11/st09/st09508.en11.pdf" TargetMode="External"/><Relationship Id="rId36" Type="http://schemas.openxmlformats.org/officeDocument/2006/relationships/hyperlink" Target="http://europa.eu/newsroom/highlights/multiannual-financial-framework-2014-2020/index_en.htm#pane7" TargetMode="External"/><Relationship Id="rId49" Type="http://schemas.openxmlformats.org/officeDocument/2006/relationships/hyperlink" Target="http://www1.aston.ac.uk/lss/research/centres-institutes/aston-centre-europe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c.europa.eu/enterprise/newsroom/cf/itemdetail.cfm?item_id=5937&amp;lang=en&amp;tpa_id=0&amp;title=Antonio%20Tajani:%20Fostering%20industrial%20co-operation%20with%20the%20United%20States" TargetMode="External"/><Relationship Id="rId31" Type="http://schemas.openxmlformats.org/officeDocument/2006/relationships/hyperlink" Target="http://eur-lex.europa.eu/LexUriServ/LexUriServ.do?uri=OJ:L:2012:119:0001:0008:EN:PDF" TargetMode="External"/><Relationship Id="rId44" Type="http://schemas.openxmlformats.org/officeDocument/2006/relationships/hyperlink" Target="http://euroacademia.eu/conference/international-conference-re-inventing-eastern-europe/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opa.eu/rapid/pressReleasesAction.do?reference=SPEECH/12/313&amp;format=HTML&amp;aged=0&amp;language=EN&amp;guiLanguage=en" TargetMode="External"/><Relationship Id="rId14" Type="http://schemas.openxmlformats.org/officeDocument/2006/relationships/hyperlink" Target="http://www.europarl.europa.eu/delegations/en/studiesdownload.html?languageDocument=EN&amp;file=73753" TargetMode="External"/><Relationship Id="rId22" Type="http://schemas.openxmlformats.org/officeDocument/2006/relationships/hyperlink" Target="http://www.eda.europa.eu/News/12-05-10/European_Defence_Agency_working_with_US_on_export_controls" TargetMode="External"/><Relationship Id="rId27" Type="http://schemas.openxmlformats.org/officeDocument/2006/relationships/hyperlink" Target="http://register.consilium.europa.eu/pdf/en/10/st18/st18200.en10.pdf" TargetMode="External"/><Relationship Id="rId30" Type="http://schemas.openxmlformats.org/officeDocument/2006/relationships/hyperlink" Target="http://www.consilium.europa.eu/uedocs/cms_Data/docs/pressdata/EN/foraff/130044.pdf" TargetMode="External"/><Relationship Id="rId35" Type="http://schemas.openxmlformats.org/officeDocument/2006/relationships/hyperlink" Target="http://register.consilium.europa.eu/pdf/en/12/st09/st09686.en12.pdf" TargetMode="External"/><Relationship Id="rId43" Type="http://schemas.openxmlformats.org/officeDocument/2006/relationships/hyperlink" Target="http://edc.kirklareli.edu.tr/" TargetMode="External"/><Relationship Id="rId48" Type="http://schemas.openxmlformats.org/officeDocument/2006/relationships/hyperlink" Target="http://www.fide2012.eu/Organising+committee/id/66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asser.nl/events.aspx?id=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2012-05-14T14:58:00Z</cp:lastPrinted>
  <dcterms:created xsi:type="dcterms:W3CDTF">2012-05-16T12:02:00Z</dcterms:created>
  <dcterms:modified xsi:type="dcterms:W3CDTF">2012-05-16T12:02:00Z</dcterms:modified>
</cp:coreProperties>
</file>